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val="0"/>
        <w:spacing w:line="360" w:lineRule="auto"/>
        <w:jc w:val="center"/>
        <w:textAlignment w:val="baseline"/>
        <w:rPr>
          <w:rFonts w:hint="default" w:ascii="Times New Roman" w:hAnsi="Times New Roman" w:eastAsia="黑体" w:cs="Times New Roman"/>
          <w:kern w:val="2"/>
          <w:sz w:val="32"/>
          <w:szCs w:val="32"/>
        </w:rPr>
      </w:pPr>
      <w:r>
        <w:rPr>
          <w:rFonts w:hint="default" w:ascii="Times New Roman" w:hAnsi="Times New Roman" w:eastAsia="黑体" w:cs="Times New Roman"/>
          <w:kern w:val="2"/>
          <w:sz w:val="32"/>
          <w:szCs w:val="32"/>
        </w:rPr>
        <w:t>《</w:t>
      </w:r>
      <w:r>
        <w:rPr>
          <w:rFonts w:hint="default" w:ascii="Times New Roman" w:hAnsi="Times New Roman" w:eastAsia="黑体" w:cs="Times New Roman"/>
          <w:kern w:val="2"/>
          <w:sz w:val="32"/>
          <w:szCs w:val="32"/>
        </w:rPr>
        <w:t>化妆品中4-羟基苯甲酸及其</w:t>
      </w:r>
      <w:r>
        <w:rPr>
          <w:rFonts w:hint="default" w:ascii="Times New Roman" w:hAnsi="Times New Roman" w:eastAsia="黑体" w:cs="Times New Roman"/>
          <w:kern w:val="2"/>
          <w:sz w:val="32"/>
          <w:szCs w:val="32"/>
          <w:lang w:val="en-US" w:eastAsia="zh-CN"/>
        </w:rPr>
        <w:t>盐类</w:t>
      </w:r>
      <w:r>
        <w:rPr>
          <w:rFonts w:hint="default" w:ascii="Times New Roman" w:hAnsi="Times New Roman" w:eastAsia="黑体" w:cs="Times New Roman"/>
          <w:kern w:val="2"/>
          <w:sz w:val="32"/>
          <w:szCs w:val="32"/>
        </w:rPr>
        <w:t>和</w:t>
      </w:r>
      <w:r>
        <w:rPr>
          <w:rFonts w:hint="default" w:ascii="Times New Roman" w:hAnsi="Times New Roman" w:eastAsia="黑体" w:cs="Times New Roman"/>
          <w:kern w:val="2"/>
          <w:sz w:val="32"/>
          <w:szCs w:val="32"/>
          <w:lang w:val="en-US" w:eastAsia="zh-CN"/>
        </w:rPr>
        <w:t>酯类</w:t>
      </w:r>
      <w:r>
        <w:rPr>
          <w:rFonts w:hint="default" w:ascii="Times New Roman" w:hAnsi="Times New Roman" w:eastAsia="黑体" w:cs="Times New Roman"/>
          <w:kern w:val="2"/>
          <w:sz w:val="32"/>
          <w:szCs w:val="32"/>
        </w:rPr>
        <w:t>的检测高效液相色谱</w:t>
      </w:r>
      <w:r>
        <w:rPr>
          <w:rFonts w:hint="default" w:ascii="Times New Roman" w:hAnsi="Times New Roman" w:eastAsia="黑体" w:cs="Times New Roman"/>
          <w:kern w:val="2"/>
          <w:sz w:val="32"/>
          <w:szCs w:val="32"/>
          <w:lang w:val="en-US" w:eastAsia="zh-CN"/>
        </w:rPr>
        <w:t>-</w:t>
      </w:r>
      <w:r>
        <w:rPr>
          <w:rFonts w:hint="default" w:ascii="Times New Roman" w:hAnsi="Times New Roman" w:eastAsia="黑体" w:cs="Times New Roman"/>
          <w:kern w:val="2"/>
          <w:sz w:val="32"/>
          <w:szCs w:val="32"/>
        </w:rPr>
        <w:t>质谱法</w:t>
      </w:r>
      <w:r>
        <w:rPr>
          <w:rFonts w:hint="default" w:ascii="Times New Roman" w:hAnsi="Times New Roman" w:eastAsia="黑体" w:cs="Times New Roman"/>
          <w:kern w:val="2"/>
          <w:sz w:val="32"/>
          <w:szCs w:val="32"/>
        </w:rPr>
        <w:t>》</w:t>
      </w:r>
    </w:p>
    <w:p>
      <w:pPr>
        <w:widowControl w:val="0"/>
        <w:adjustRightInd w:val="0"/>
        <w:spacing w:line="360" w:lineRule="auto"/>
        <w:jc w:val="center"/>
        <w:textAlignment w:val="baseline"/>
        <w:rPr>
          <w:rFonts w:hint="default" w:ascii="Times New Roman" w:hAnsi="Times New Roman" w:eastAsia="黑体" w:cs="Times New Roman"/>
          <w:kern w:val="2"/>
          <w:sz w:val="32"/>
          <w:szCs w:val="32"/>
        </w:rPr>
      </w:pPr>
      <w:r>
        <w:rPr>
          <w:rFonts w:hint="default" w:ascii="Times New Roman" w:hAnsi="Times New Roman" w:eastAsia="黑体" w:cs="Times New Roman"/>
          <w:kern w:val="2"/>
          <w:sz w:val="32"/>
          <w:szCs w:val="32"/>
        </w:rPr>
        <w:t>编制说明</w:t>
      </w:r>
    </w:p>
    <w:p>
      <w:pPr>
        <w:widowControl w:val="0"/>
        <w:adjustRightInd w:val="0"/>
        <w:spacing w:line="360" w:lineRule="auto"/>
        <w:jc w:val="center"/>
        <w:textAlignment w:val="baseline"/>
        <w:rPr>
          <w:rFonts w:hint="default" w:ascii="Times New Roman" w:hAnsi="Times New Roman" w:cs="Times New Roman"/>
          <w:kern w:val="2"/>
          <w:sz w:val="32"/>
          <w:szCs w:val="32"/>
        </w:rPr>
      </w:pPr>
    </w:p>
    <w:p>
      <w:pPr>
        <w:widowControl w:val="0"/>
        <w:adjustRightInd w:val="0"/>
        <w:spacing w:line="360" w:lineRule="auto"/>
        <w:jc w:val="both"/>
        <w:textAlignment w:val="baseline"/>
        <w:rPr>
          <w:rFonts w:hint="default" w:ascii="Times New Roman" w:hAnsi="Times New Roman" w:cs="Times New Roman"/>
          <w:b/>
          <w:bCs/>
          <w:szCs w:val="21"/>
        </w:rPr>
      </w:pPr>
      <w:r>
        <w:rPr>
          <w:rFonts w:hint="default" w:ascii="Times New Roman" w:hAnsi="Times New Roman" w:cs="Times New Roman"/>
          <w:b/>
          <w:bCs/>
          <w:szCs w:val="21"/>
        </w:rPr>
        <w:t>一、工作简况，包括标准主要起草单位、协作单位、主要起草人、简要起草过程</w:t>
      </w:r>
    </w:p>
    <w:p>
      <w:pPr>
        <w:pStyle w:val="5"/>
        <w:shd w:val="clear" w:color="auto" w:fill="FFFFFF"/>
        <w:spacing w:before="0" w:beforeAutospacing="0" w:after="0" w:afterAutospacing="0" w:line="360" w:lineRule="auto"/>
        <w:rPr>
          <w:rFonts w:hint="default" w:ascii="Times New Roman" w:hAnsi="Times New Roman" w:cs="Times New Roman"/>
          <w:b/>
          <w:bCs/>
        </w:rPr>
      </w:pPr>
      <w:r>
        <w:rPr>
          <w:rFonts w:hint="default" w:ascii="Times New Roman" w:hAnsi="Times New Roman" w:cs="Times New Roman"/>
          <w:b/>
          <w:bCs/>
        </w:rPr>
        <w:t>1、任务来源</w:t>
      </w:r>
    </w:p>
    <w:p>
      <w:pPr>
        <w:pStyle w:val="5"/>
        <w:shd w:val="clear" w:color="auto" w:fill="FFFFFF"/>
        <w:spacing w:before="0" w:beforeAutospacing="0" w:after="0" w:afterAutospacing="0" w:line="360" w:lineRule="auto"/>
        <w:ind w:firstLine="566" w:firstLineChars="236"/>
        <w:rPr>
          <w:rFonts w:hint="default" w:ascii="Times New Roman" w:hAnsi="Times New Roman" w:cs="Times New Roman"/>
        </w:rPr>
      </w:pPr>
      <w:r>
        <w:rPr>
          <w:rFonts w:hint="default" w:ascii="Times New Roman" w:hAnsi="Times New Roman" w:cs="Times New Roman"/>
        </w:rPr>
        <w:t>2018年3月本标准经中国香料香精化妆品工业协会审议通过立项，通知见《关于2018年中国香料香精化妆品工业协会团体标准（第一批）立项公示的通知 》（香化协字[2018]11号）</w:t>
      </w:r>
      <w:r>
        <w:rPr>
          <w:rFonts w:hint="default" w:ascii="Times New Roman" w:hAnsi="Times New Roman" w:cs="Times New Roman"/>
          <w:lang w:eastAsia="zh-CN"/>
        </w:rPr>
        <w:t>（</w:t>
      </w:r>
      <w:r>
        <w:rPr>
          <w:rFonts w:hint="default" w:ascii="Times New Roman" w:hAnsi="Times New Roman" w:cs="Times New Roman"/>
          <w:lang w:val="en-US" w:eastAsia="zh-CN"/>
        </w:rPr>
        <w:t>该团体标准立项公示时名称为“化妆品中22种羟苯酯类防腐剂的检测”，经征求意见及专家审评提议，修改为“化妆品中4-羟基苯甲酸及其盐类和酯类的检测高效液相色谱-质谱法”（</w:t>
      </w:r>
      <w:r>
        <w:rPr>
          <w:rFonts w:hint="eastAsia" w:ascii="Times New Roman" w:hAnsi="Times New Roman" w:cs="Times New Roman"/>
          <w:lang w:val="en-US" w:eastAsia="zh-CN"/>
        </w:rPr>
        <w:t>依照</w:t>
      </w:r>
      <w:bookmarkStart w:id="13" w:name="_GoBack"/>
      <w:bookmarkEnd w:id="13"/>
      <w:r>
        <w:rPr>
          <w:rFonts w:hint="default" w:ascii="Times New Roman" w:hAnsi="Times New Roman" w:cs="Times New Roman"/>
          <w:lang w:val="en-US" w:eastAsia="zh-CN"/>
        </w:rPr>
        <w:t>《已使用化妆品原料名称目录》）</w:t>
      </w:r>
      <w:r>
        <w:rPr>
          <w:rFonts w:hint="default" w:ascii="Times New Roman" w:hAnsi="Times New Roman" w:cs="Times New Roman"/>
          <w:lang w:eastAsia="zh-CN"/>
        </w:rPr>
        <w:t>）</w:t>
      </w:r>
      <w:r>
        <w:rPr>
          <w:rFonts w:hint="default" w:ascii="Times New Roman" w:hAnsi="Times New Roman" w:cs="Times New Roman"/>
        </w:rPr>
        <w:t>。主要起草单位包括：通标标准技术服务（上海）有限公司、上海市食品药品检验所、上海出入境检验检疫局动植物与食品检验检疫技术中心</w:t>
      </w:r>
    </w:p>
    <w:p>
      <w:pPr>
        <w:pStyle w:val="5"/>
        <w:shd w:val="clear" w:color="auto" w:fill="FFFFFF"/>
        <w:spacing w:before="0" w:beforeAutospacing="0" w:after="0" w:afterAutospacing="0" w:line="360" w:lineRule="auto"/>
        <w:rPr>
          <w:rFonts w:hint="default" w:ascii="Times New Roman" w:hAnsi="Times New Roman" w:cs="Times New Roman"/>
          <w:b/>
          <w:bCs/>
        </w:rPr>
      </w:pPr>
      <w:r>
        <w:rPr>
          <w:rFonts w:hint="default" w:ascii="Times New Roman" w:hAnsi="Times New Roman" w:cs="Times New Roman"/>
          <w:b/>
          <w:bCs/>
        </w:rPr>
        <w:t>2、主要工作过程</w:t>
      </w:r>
    </w:p>
    <w:p>
      <w:pPr>
        <w:pStyle w:val="5"/>
        <w:shd w:val="clear" w:color="auto" w:fill="FFFFFF"/>
        <w:spacing w:before="0" w:beforeAutospacing="0" w:after="0" w:afterAutospacing="0" w:line="360" w:lineRule="auto"/>
        <w:ind w:firstLine="566" w:firstLineChars="235"/>
        <w:rPr>
          <w:rFonts w:hint="default" w:ascii="Times New Roman" w:hAnsi="Times New Roman" w:cs="Times New Roman"/>
          <w:b/>
          <w:bCs/>
        </w:rPr>
      </w:pPr>
      <w:r>
        <w:rPr>
          <w:rFonts w:hint="default" w:ascii="Times New Roman" w:hAnsi="Times New Roman" w:cs="Times New Roman"/>
          <w:b/>
          <w:bCs/>
        </w:rPr>
        <w:t>起草阶段：</w:t>
      </w:r>
    </w:p>
    <w:p>
      <w:pPr>
        <w:pStyle w:val="5"/>
        <w:numPr>
          <w:ilvl w:val="0"/>
          <w:numId w:val="1"/>
        </w:numPr>
        <w:shd w:val="clear" w:color="auto" w:fill="FFFFFF"/>
        <w:tabs>
          <w:tab w:val="left" w:pos="851"/>
        </w:tabs>
        <w:spacing w:before="0" w:beforeAutospacing="0" w:after="0" w:afterAutospacing="0" w:line="360" w:lineRule="auto"/>
        <w:ind w:left="0" w:firstLine="567"/>
        <w:rPr>
          <w:rFonts w:hint="default" w:ascii="Times New Roman" w:hAnsi="Times New Roman" w:cs="Times New Roman"/>
        </w:rPr>
      </w:pPr>
      <w:r>
        <w:rPr>
          <w:rFonts w:hint="default" w:ascii="Times New Roman" w:hAnsi="Times New Roman" w:cs="Times New Roman"/>
        </w:rPr>
        <w:t>根据中国香料香精化妆品工业协会团体标准立项公示的通知，牵头起草单位通标标准技术服务（上海）有限公司和上海市食品药品检验所、上海出入境检验检疫局动植物与食品检验检疫技术中心联合成立标准工作组，明确工作分工。查询研究相关资料，结合实验室条件和化妆品基质特性，初步设计实验方案。</w:t>
      </w:r>
    </w:p>
    <w:p>
      <w:pPr>
        <w:pStyle w:val="5"/>
        <w:numPr>
          <w:ilvl w:val="0"/>
          <w:numId w:val="1"/>
        </w:numPr>
        <w:shd w:val="clear" w:color="auto" w:fill="FFFFFF"/>
        <w:tabs>
          <w:tab w:val="left" w:pos="851"/>
        </w:tabs>
        <w:spacing w:before="0" w:beforeAutospacing="0" w:after="0" w:afterAutospacing="0" w:line="360" w:lineRule="auto"/>
        <w:ind w:left="0" w:firstLine="567"/>
        <w:rPr>
          <w:rFonts w:hint="default" w:ascii="Times New Roman" w:hAnsi="Times New Roman" w:cs="Times New Roman"/>
        </w:rPr>
      </w:pPr>
      <w:r>
        <w:rPr>
          <w:rFonts w:hint="default" w:ascii="Times New Roman" w:hAnsi="Times New Roman" w:cs="Times New Roman"/>
        </w:rPr>
        <w:t>2018年4月-2019年</w:t>
      </w:r>
      <w:r>
        <w:rPr>
          <w:rFonts w:hint="default" w:ascii="Times New Roman" w:hAnsi="Times New Roman" w:cs="Times New Roman"/>
        </w:rPr>
        <w:t>8</w:t>
      </w:r>
      <w:r>
        <w:rPr>
          <w:rFonts w:hint="default" w:ascii="Times New Roman" w:hAnsi="Times New Roman" w:cs="Times New Roman"/>
        </w:rPr>
        <w:t>月，进行实验室研究工作。根据实验室现有部分物质的测试方法及羟苯酯类物质的特性，优化确定水基、乳液、膏霜、凝胶、蜡基、粉基类等化妆品的前处理条件和仪器条件。考察方法的标准曲线线性范围、准确度、精密度、定量限和适用性。并组织单位进行方法验证，编写标准草案征求意见稿和编制说明。</w:t>
      </w:r>
    </w:p>
    <w:p>
      <w:pPr>
        <w:pStyle w:val="5"/>
        <w:shd w:val="clear" w:color="auto" w:fill="FFFFFF"/>
        <w:spacing w:before="0" w:beforeAutospacing="0" w:after="0" w:afterAutospacing="0" w:line="360" w:lineRule="auto"/>
        <w:rPr>
          <w:rFonts w:hint="default" w:ascii="Times New Roman" w:hAnsi="Times New Roman" w:cs="Times New Roman"/>
          <w:b/>
          <w:bCs/>
        </w:rPr>
      </w:pPr>
      <w:r>
        <w:rPr>
          <w:rFonts w:hint="default" w:ascii="Times New Roman" w:hAnsi="Times New Roman" w:cs="Times New Roman"/>
          <w:b/>
          <w:bCs/>
        </w:rPr>
        <w:t>3、主要参加单位和工作组成员</w:t>
      </w:r>
    </w:p>
    <w:p>
      <w:pPr>
        <w:pStyle w:val="5"/>
        <w:shd w:val="clear" w:color="auto" w:fill="FFFFFF"/>
        <w:spacing w:before="0" w:beforeAutospacing="0" w:after="0" w:afterAutospacing="0" w:line="360" w:lineRule="auto"/>
        <w:ind w:firstLine="480" w:firstLineChars="200"/>
        <w:rPr>
          <w:rFonts w:hint="default" w:ascii="Times New Roman" w:hAnsi="Times New Roman" w:cs="Times New Roman"/>
        </w:rPr>
      </w:pPr>
      <w:r>
        <w:rPr>
          <w:rFonts w:hint="default" w:ascii="Times New Roman" w:hAnsi="Times New Roman" w:cs="Times New Roman"/>
        </w:rPr>
        <w:t>本标准由通标标准技术服务（上海）有限公司、上海市食品药品检验所、上海出入境检验检疫局动植物与食品检验检疫技术中心联合起草。</w:t>
      </w:r>
    </w:p>
    <w:p>
      <w:pPr>
        <w:pStyle w:val="5"/>
        <w:shd w:val="clear" w:color="auto" w:fill="FFFFFF"/>
        <w:spacing w:before="0" w:beforeAutospacing="0" w:after="0" w:afterAutospacing="0" w:line="360" w:lineRule="auto"/>
        <w:ind w:firstLine="480" w:firstLineChars="200"/>
        <w:rPr>
          <w:rFonts w:hint="default" w:ascii="Times New Roman" w:hAnsi="Times New Roman" w:cs="Times New Roman"/>
        </w:rPr>
      </w:pPr>
      <w:r>
        <w:rPr>
          <w:rFonts w:hint="default" w:ascii="Times New Roman" w:hAnsi="Times New Roman" w:cs="Times New Roman"/>
        </w:rPr>
        <w:t>本标准主要起草人：廖晓全、郁琼花、杨扬、王璐、冯颖、简龙海、陈静、许勇、杨振宇、王粮子。</w:t>
      </w:r>
    </w:p>
    <w:p>
      <w:pPr>
        <w:pStyle w:val="11"/>
        <w:widowControl w:val="0"/>
        <w:numPr>
          <w:ilvl w:val="0"/>
          <w:numId w:val="2"/>
        </w:numPr>
        <w:adjustRightInd w:val="0"/>
        <w:spacing w:line="360" w:lineRule="auto"/>
        <w:ind w:firstLineChars="0"/>
        <w:jc w:val="both"/>
        <w:textAlignment w:val="baseline"/>
        <w:rPr>
          <w:rFonts w:hint="default" w:ascii="Times New Roman" w:hAnsi="Times New Roman" w:cs="Times New Roman"/>
          <w:b/>
          <w:bCs/>
          <w:szCs w:val="21"/>
        </w:rPr>
      </w:pPr>
      <w:r>
        <w:rPr>
          <w:rFonts w:hint="default" w:ascii="Times New Roman" w:hAnsi="Times New Roman" w:cs="Times New Roman"/>
          <w:b/>
          <w:bCs/>
          <w:szCs w:val="21"/>
        </w:rPr>
        <w:t>标准编制原则和主要内容</w:t>
      </w:r>
    </w:p>
    <w:p>
      <w:pPr>
        <w:pStyle w:val="5"/>
        <w:shd w:val="clear" w:color="auto" w:fill="FFFFFF"/>
        <w:spacing w:before="0" w:beforeAutospacing="0" w:after="0" w:afterAutospacing="0" w:line="360" w:lineRule="auto"/>
        <w:rPr>
          <w:rFonts w:hint="default" w:ascii="Times New Roman" w:hAnsi="Times New Roman" w:cs="Times New Roman"/>
          <w:b/>
          <w:bCs/>
        </w:rPr>
      </w:pPr>
      <w:r>
        <w:rPr>
          <w:rFonts w:hint="default" w:ascii="Times New Roman" w:hAnsi="Times New Roman" w:cs="Times New Roman"/>
          <w:b/>
          <w:bCs/>
        </w:rPr>
        <w:t>1、标准编制原则</w:t>
      </w:r>
    </w:p>
    <w:p>
      <w:pPr>
        <w:pStyle w:val="5"/>
        <w:shd w:val="clear" w:color="auto" w:fill="FFFFFF"/>
        <w:spacing w:before="0" w:beforeAutospacing="0" w:after="0" w:afterAutospacing="0" w:line="360" w:lineRule="auto"/>
        <w:ind w:firstLine="480" w:firstLineChars="200"/>
        <w:rPr>
          <w:rFonts w:hint="default" w:ascii="Times New Roman" w:hAnsi="Times New Roman" w:cs="Times New Roman"/>
        </w:rPr>
      </w:pPr>
      <w:r>
        <w:rPr>
          <w:rFonts w:hint="default" w:ascii="Times New Roman" w:hAnsi="Times New Roman" w:cs="Times New Roman"/>
        </w:rPr>
        <w:t>本标准遵循GBT 1.1-2009 《标准化工作导则 第1部分：标准的结构和编写》和 GBT 20001.4-2015 《标准编写规则 第4部分：试验方法标准》的编写要求，并参考国家食品药品监督管理总局发布的《化妆品中禁用物质和限用物质检测方法 验证技术规范》</w:t>
      </w:r>
    </w:p>
    <w:p>
      <w:pPr>
        <w:pStyle w:val="5"/>
        <w:numPr>
          <w:ilvl w:val="0"/>
          <w:numId w:val="3"/>
        </w:numPr>
        <w:shd w:val="clear" w:color="auto" w:fill="FFFFFF"/>
        <w:spacing w:before="0" w:beforeAutospacing="0" w:after="0" w:afterAutospacing="0" w:line="360" w:lineRule="auto"/>
        <w:rPr>
          <w:rFonts w:hint="default" w:ascii="Times New Roman" w:hAnsi="Times New Roman" w:cs="Times New Roman"/>
          <w:b/>
          <w:bCs/>
        </w:rPr>
      </w:pPr>
      <w:r>
        <w:rPr>
          <w:rFonts w:hint="default" w:ascii="Times New Roman" w:hAnsi="Times New Roman" w:cs="Times New Roman"/>
          <w:b/>
          <w:bCs/>
        </w:rPr>
        <w:t>标准研制背景</w:t>
      </w:r>
    </w:p>
    <w:p>
      <w:pPr>
        <w:pStyle w:val="5"/>
        <w:shd w:val="clear" w:color="auto" w:fill="FFFFFF"/>
        <w:spacing w:before="0" w:beforeAutospacing="0" w:after="0" w:afterAutospacing="0" w:line="360" w:lineRule="auto"/>
        <w:ind w:firstLine="480" w:firstLineChars="200"/>
        <w:rPr>
          <w:rFonts w:hint="default" w:ascii="Times New Roman" w:hAnsi="Times New Roman" w:cs="Times New Roman"/>
        </w:rPr>
      </w:pPr>
      <w:r>
        <w:rPr>
          <w:rFonts w:hint="default" w:ascii="Times New Roman" w:hAnsi="Times New Roman" w:cs="Times New Roman"/>
        </w:rPr>
        <w:t>化妆品是人们日常生活中普遍使用的消费品，且随着人们生活水平的提高，化妆品的种类、品牌和使用量也越来越多。同时，人们对化妆品的质量和安全性也越来越重视。</w:t>
      </w:r>
    </w:p>
    <w:p>
      <w:pPr>
        <w:pStyle w:val="5"/>
        <w:shd w:val="clear" w:color="auto" w:fill="FFFFFF"/>
        <w:spacing w:before="0" w:beforeAutospacing="0" w:after="0" w:afterAutospacing="0" w:line="360" w:lineRule="auto"/>
        <w:ind w:firstLine="480" w:firstLineChars="200"/>
        <w:rPr>
          <w:rFonts w:hint="default" w:ascii="Times New Roman" w:hAnsi="Times New Roman" w:cs="Times New Roman"/>
        </w:rPr>
      </w:pPr>
      <w:r>
        <w:rPr>
          <w:rFonts w:hint="default" w:ascii="Times New Roman" w:hAnsi="Times New Roman" w:cs="Times New Roman"/>
        </w:rPr>
        <w:t>化妆品防腐剂是指以抑制微生物在化妆品中的生长和繁殖为目的而在化妆品中加入的物质。添加防腐剂以确保化妆品的性质稳定，不易变质，延长保存时间。因此添加防腐剂在化妆品生产过程中往往是必不可少的。</w:t>
      </w:r>
    </w:p>
    <w:p>
      <w:pPr>
        <w:pStyle w:val="5"/>
        <w:shd w:val="clear" w:color="auto" w:fill="FFFFFF"/>
        <w:spacing w:before="0" w:beforeAutospacing="0" w:after="0" w:afterAutospacing="0" w:line="360" w:lineRule="auto"/>
        <w:ind w:firstLine="480" w:firstLineChars="200"/>
        <w:rPr>
          <w:rFonts w:hint="default" w:ascii="Times New Roman" w:hAnsi="Times New Roman" w:cs="Times New Roman"/>
        </w:rPr>
      </w:pPr>
      <w:r>
        <w:rPr>
          <w:rFonts w:hint="default" w:ascii="Times New Roman" w:hAnsi="Times New Roman" w:cs="Times New Roman"/>
        </w:rPr>
        <w:t>但防腐剂的种类繁多，为了使用安全，必须确保添加对人体危害小的防腐剂，杜绝添加危害大的防腐剂。并且应按照规定的量使用。</w:t>
      </w:r>
    </w:p>
    <w:p>
      <w:pPr>
        <w:pStyle w:val="5"/>
        <w:shd w:val="clear" w:color="auto" w:fill="FFFFFF"/>
        <w:spacing w:before="0" w:beforeAutospacing="0" w:after="0" w:afterAutospacing="0" w:line="360" w:lineRule="auto"/>
        <w:ind w:firstLine="480" w:firstLineChars="200"/>
        <w:rPr>
          <w:rFonts w:hint="default" w:ascii="Times New Roman" w:hAnsi="Times New Roman" w:cs="Times New Roman"/>
        </w:rPr>
      </w:pPr>
      <w:r>
        <w:rPr>
          <w:rFonts w:hint="default" w:ascii="Times New Roman" w:hAnsi="Times New Roman" w:cs="Times New Roman"/>
          <w:lang w:eastAsia="zh-CN"/>
        </w:rPr>
        <w:t>4-羟基苯甲酸及其盐类和酯类</w:t>
      </w:r>
      <w:r>
        <w:rPr>
          <w:rFonts w:hint="default" w:ascii="Times New Roman" w:hAnsi="Times New Roman" w:cs="Times New Roman"/>
        </w:rPr>
        <w:t>是一类化妆品中可能用到的防腐杀菌剂。在《化妆品安全技术规范》（2015年版）的禁用列表中明确禁止使用其中5类，如下表。</w:t>
      </w:r>
    </w:p>
    <w:p>
      <w:pPr>
        <w:pStyle w:val="5"/>
        <w:shd w:val="clear" w:color="auto" w:fill="FFFFFF"/>
        <w:spacing w:before="0" w:beforeAutospacing="0" w:after="0" w:afterAutospacing="0" w:line="360" w:lineRule="auto"/>
        <w:ind w:firstLine="440" w:firstLineChars="200"/>
        <w:jc w:val="center"/>
        <w:rPr>
          <w:rFonts w:hint="default" w:ascii="Times New Roman" w:hAnsi="Times New Roman" w:cs="Times New Roman"/>
        </w:rPr>
      </w:pPr>
      <w:r>
        <w:rPr>
          <w:rFonts w:hint="default" w:ascii="Times New Roman" w:hAnsi="Times New Roman" w:cs="Times New Roman"/>
          <w:color w:val="000000"/>
          <w:sz w:val="22"/>
          <w:szCs w:val="22"/>
        </w:rPr>
        <w:t>表1. 《化妆品安全技术规范》（2015年版）禁用列表</w:t>
      </w:r>
    </w:p>
    <w:tbl>
      <w:tblPr>
        <w:tblStyle w:val="6"/>
        <w:tblW w:w="9062" w:type="dxa"/>
        <w:jc w:val="center"/>
        <w:tblLayout w:type="autofit"/>
        <w:tblCellMar>
          <w:top w:w="0" w:type="dxa"/>
          <w:left w:w="108" w:type="dxa"/>
          <w:bottom w:w="0" w:type="dxa"/>
          <w:right w:w="108" w:type="dxa"/>
        </w:tblCellMar>
      </w:tblPr>
      <w:tblGrid>
        <w:gridCol w:w="860"/>
        <w:gridCol w:w="3920"/>
        <w:gridCol w:w="4282"/>
      </w:tblGrid>
      <w:tr>
        <w:tblPrEx>
          <w:tblCellMar>
            <w:top w:w="0" w:type="dxa"/>
            <w:left w:w="108" w:type="dxa"/>
            <w:bottom w:w="0" w:type="dxa"/>
            <w:right w:w="108" w:type="dxa"/>
          </w:tblCellMar>
        </w:tblPrEx>
        <w:trPr>
          <w:trHeight w:val="523" w:hRule="atLeast"/>
          <w:tblHeader/>
          <w:jc w:val="center"/>
        </w:trPr>
        <w:tc>
          <w:tcPr>
            <w:tcW w:w="860" w:type="dxa"/>
            <w:tcBorders>
              <w:top w:val="single" w:color="auto" w:sz="8" w:space="0"/>
              <w:left w:val="single" w:color="auto" w:sz="8" w:space="0"/>
              <w:bottom w:val="single" w:color="auto" w:sz="4" w:space="0"/>
              <w:right w:val="single" w:color="auto" w:sz="4" w:space="0"/>
            </w:tcBorders>
            <w:shd w:val="clear" w:color="auto" w:fill="auto"/>
            <w:vAlign w:val="center"/>
          </w:tcPr>
          <w:p>
            <w:pPr>
              <w:spacing w:line="360" w:lineRule="auto"/>
              <w:jc w:val="center"/>
              <w:rPr>
                <w:rFonts w:hint="default" w:ascii="Times New Roman" w:hAnsi="Times New Roman" w:cs="Times New Roman"/>
                <w:b/>
                <w:bCs/>
                <w:color w:val="000000"/>
                <w:sz w:val="22"/>
                <w:szCs w:val="22"/>
              </w:rPr>
            </w:pPr>
            <w:r>
              <w:rPr>
                <w:rFonts w:hint="default" w:ascii="Times New Roman" w:hAnsi="Times New Roman" w:cs="Times New Roman"/>
                <w:b/>
                <w:bCs/>
                <w:color w:val="000000"/>
                <w:sz w:val="22"/>
                <w:szCs w:val="22"/>
              </w:rPr>
              <w:t>序号</w:t>
            </w:r>
          </w:p>
        </w:tc>
        <w:tc>
          <w:tcPr>
            <w:tcW w:w="8202" w:type="dxa"/>
            <w:gridSpan w:val="2"/>
            <w:tcBorders>
              <w:top w:val="single" w:color="auto" w:sz="8" w:space="0"/>
              <w:left w:val="nil"/>
              <w:bottom w:val="single" w:color="auto" w:sz="4" w:space="0"/>
              <w:right w:val="single" w:color="000000" w:sz="8" w:space="0"/>
            </w:tcBorders>
            <w:shd w:val="clear" w:color="auto" w:fill="auto"/>
            <w:vAlign w:val="center"/>
          </w:tcPr>
          <w:p>
            <w:pPr>
              <w:spacing w:line="360" w:lineRule="auto"/>
              <w:jc w:val="center"/>
              <w:rPr>
                <w:rFonts w:hint="default" w:ascii="Times New Roman" w:hAnsi="Times New Roman" w:cs="Times New Roman"/>
                <w:b/>
                <w:bCs/>
                <w:color w:val="000000"/>
                <w:sz w:val="22"/>
                <w:szCs w:val="22"/>
              </w:rPr>
            </w:pPr>
            <w:r>
              <w:rPr>
                <w:rFonts w:hint="default" w:ascii="Times New Roman" w:hAnsi="Times New Roman" w:cs="Times New Roman"/>
                <w:b/>
                <w:bCs/>
                <w:color w:val="000000"/>
                <w:sz w:val="22"/>
                <w:szCs w:val="22"/>
              </w:rPr>
              <w:t>物质名称</w:t>
            </w:r>
          </w:p>
        </w:tc>
      </w:tr>
      <w:tr>
        <w:tblPrEx>
          <w:tblCellMar>
            <w:top w:w="0" w:type="dxa"/>
            <w:left w:w="108" w:type="dxa"/>
            <w:bottom w:w="0" w:type="dxa"/>
            <w:right w:w="108" w:type="dxa"/>
          </w:tblCellMar>
        </w:tblPrEx>
        <w:trPr>
          <w:trHeight w:val="900" w:hRule="atLeast"/>
          <w:jc w:val="center"/>
        </w:trPr>
        <w:tc>
          <w:tcPr>
            <w:tcW w:w="860" w:type="dxa"/>
            <w:tcBorders>
              <w:top w:val="nil"/>
              <w:left w:val="single" w:color="auto" w:sz="8" w:space="0"/>
              <w:bottom w:val="single" w:color="auto" w:sz="4" w:space="0"/>
              <w:right w:val="single" w:color="auto" w:sz="4" w:space="0"/>
            </w:tcBorders>
            <w:shd w:val="clear" w:color="auto" w:fill="auto"/>
            <w:vAlign w:val="center"/>
          </w:tcPr>
          <w:p>
            <w:pPr>
              <w:spacing w:line="360" w:lineRule="auto"/>
              <w:jc w:val="center"/>
              <w:rPr>
                <w:rFonts w:hint="default" w:ascii="Times New Roman" w:hAnsi="Times New Roman" w:cs="Times New Roman"/>
                <w:color w:val="000000"/>
                <w:sz w:val="22"/>
                <w:szCs w:val="22"/>
              </w:rPr>
            </w:pPr>
            <w:bookmarkStart w:id="0" w:name="_Hlk49937726"/>
            <w:r>
              <w:rPr>
                <w:rFonts w:hint="default" w:ascii="Times New Roman" w:hAnsi="Times New Roman" w:cs="Times New Roman"/>
                <w:color w:val="000000"/>
                <w:sz w:val="22"/>
                <w:szCs w:val="22"/>
              </w:rPr>
              <w:t>1</w:t>
            </w:r>
          </w:p>
        </w:tc>
        <w:tc>
          <w:tcPr>
            <w:tcW w:w="3920" w:type="dxa"/>
            <w:tcBorders>
              <w:top w:val="nil"/>
              <w:left w:val="nil"/>
              <w:bottom w:val="single" w:color="auto" w:sz="4" w:space="0"/>
              <w:right w:val="single" w:color="auto" w:sz="4" w:space="0"/>
            </w:tcBorders>
            <w:shd w:val="clear" w:color="auto" w:fill="auto"/>
            <w:vAlign w:val="center"/>
          </w:tcPr>
          <w:p>
            <w:pPr>
              <w:spacing w:line="360" w:lineRule="auto"/>
              <w:rPr>
                <w:rFonts w:hint="default" w:ascii="Times New Roman" w:hAnsi="Times New Roman" w:cs="Times New Roman"/>
                <w:sz w:val="22"/>
                <w:szCs w:val="22"/>
              </w:rPr>
            </w:pPr>
            <w:bookmarkStart w:id="1" w:name="OLE_LINK6"/>
            <w:r>
              <w:rPr>
                <w:rFonts w:hint="default" w:ascii="Times New Roman" w:hAnsi="Times New Roman" w:cs="Times New Roman"/>
                <w:sz w:val="22"/>
                <w:szCs w:val="22"/>
              </w:rPr>
              <w:t>羟苯异丙酯及其盐</w:t>
            </w:r>
            <w:bookmarkEnd w:id="1"/>
          </w:p>
        </w:tc>
        <w:tc>
          <w:tcPr>
            <w:tcW w:w="4282" w:type="dxa"/>
            <w:tcBorders>
              <w:top w:val="nil"/>
              <w:left w:val="nil"/>
              <w:bottom w:val="single" w:color="auto" w:sz="4" w:space="0"/>
              <w:right w:val="single" w:color="auto" w:sz="8" w:space="0"/>
            </w:tcBorders>
            <w:shd w:val="clear" w:color="auto" w:fill="auto"/>
            <w:vAlign w:val="center"/>
          </w:tcPr>
          <w:p>
            <w:pPr>
              <w:spacing w:line="36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Isopropyl 4-hydroxybenzoate (INCI: Isopropylparaben) Sodium salt or Salts of Isopropylparaben</w:t>
            </w:r>
          </w:p>
        </w:tc>
      </w:tr>
      <w:tr>
        <w:tblPrEx>
          <w:tblCellMar>
            <w:top w:w="0" w:type="dxa"/>
            <w:left w:w="108" w:type="dxa"/>
            <w:bottom w:w="0" w:type="dxa"/>
            <w:right w:w="108" w:type="dxa"/>
          </w:tblCellMar>
        </w:tblPrEx>
        <w:trPr>
          <w:trHeight w:val="900" w:hRule="atLeast"/>
          <w:jc w:val="center"/>
        </w:trPr>
        <w:tc>
          <w:tcPr>
            <w:tcW w:w="860" w:type="dxa"/>
            <w:tcBorders>
              <w:top w:val="nil"/>
              <w:left w:val="single" w:color="auto" w:sz="8" w:space="0"/>
              <w:bottom w:val="single" w:color="auto" w:sz="4" w:space="0"/>
              <w:right w:val="single" w:color="auto" w:sz="4" w:space="0"/>
            </w:tcBorders>
            <w:shd w:val="clear" w:color="auto" w:fill="auto"/>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2</w:t>
            </w:r>
          </w:p>
        </w:tc>
        <w:tc>
          <w:tcPr>
            <w:tcW w:w="3920" w:type="dxa"/>
            <w:tcBorders>
              <w:top w:val="nil"/>
              <w:left w:val="nil"/>
              <w:bottom w:val="single" w:color="auto" w:sz="4" w:space="0"/>
              <w:right w:val="single" w:color="auto" w:sz="4" w:space="0"/>
            </w:tcBorders>
            <w:shd w:val="clear" w:color="auto" w:fill="auto"/>
            <w:vAlign w:val="center"/>
          </w:tcPr>
          <w:p>
            <w:pPr>
              <w:spacing w:line="360" w:lineRule="auto"/>
              <w:rPr>
                <w:rFonts w:hint="default" w:ascii="Times New Roman" w:hAnsi="Times New Roman" w:cs="Times New Roman"/>
                <w:sz w:val="22"/>
                <w:szCs w:val="22"/>
              </w:rPr>
            </w:pPr>
            <w:r>
              <w:rPr>
                <w:rFonts w:hint="default" w:ascii="Times New Roman" w:hAnsi="Times New Roman" w:cs="Times New Roman"/>
                <w:sz w:val="22"/>
                <w:szCs w:val="22"/>
              </w:rPr>
              <w:t>羟苯异丁酯及其盐</w:t>
            </w:r>
          </w:p>
        </w:tc>
        <w:tc>
          <w:tcPr>
            <w:tcW w:w="4282" w:type="dxa"/>
            <w:tcBorders>
              <w:top w:val="nil"/>
              <w:left w:val="nil"/>
              <w:bottom w:val="single" w:color="auto" w:sz="4" w:space="0"/>
              <w:right w:val="single" w:color="auto" w:sz="8" w:space="0"/>
            </w:tcBorders>
            <w:shd w:val="clear" w:color="auto" w:fill="auto"/>
            <w:vAlign w:val="center"/>
          </w:tcPr>
          <w:p>
            <w:pPr>
              <w:spacing w:line="36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Isobutyl 4-hydroxybenzoate (INCI: Isobutylparaben) Sodium salt or Salts of Isobutylparaben</w:t>
            </w:r>
          </w:p>
        </w:tc>
      </w:tr>
      <w:bookmarkEnd w:id="0"/>
      <w:tr>
        <w:tblPrEx>
          <w:tblCellMar>
            <w:top w:w="0" w:type="dxa"/>
            <w:left w:w="108" w:type="dxa"/>
            <w:bottom w:w="0" w:type="dxa"/>
            <w:right w:w="108" w:type="dxa"/>
          </w:tblCellMar>
        </w:tblPrEx>
        <w:trPr>
          <w:trHeight w:val="600" w:hRule="atLeast"/>
          <w:jc w:val="center"/>
        </w:trPr>
        <w:tc>
          <w:tcPr>
            <w:tcW w:w="860" w:type="dxa"/>
            <w:tcBorders>
              <w:top w:val="nil"/>
              <w:left w:val="single" w:color="auto" w:sz="8" w:space="0"/>
              <w:bottom w:val="single" w:color="auto" w:sz="4" w:space="0"/>
              <w:right w:val="single" w:color="auto" w:sz="4" w:space="0"/>
            </w:tcBorders>
            <w:shd w:val="clear" w:color="auto" w:fill="auto"/>
            <w:vAlign w:val="center"/>
          </w:tcPr>
          <w:p>
            <w:pPr>
              <w:spacing w:line="360" w:lineRule="auto"/>
              <w:jc w:val="center"/>
              <w:rPr>
                <w:rFonts w:hint="default" w:ascii="Times New Roman" w:hAnsi="Times New Roman" w:cs="Times New Roman"/>
                <w:color w:val="000000"/>
                <w:sz w:val="22"/>
                <w:szCs w:val="22"/>
              </w:rPr>
            </w:pPr>
            <w:bookmarkStart w:id="2" w:name="_Hlk49937532"/>
            <w:r>
              <w:rPr>
                <w:rFonts w:hint="default" w:ascii="Times New Roman" w:hAnsi="Times New Roman" w:cs="Times New Roman"/>
                <w:color w:val="000000"/>
                <w:sz w:val="22"/>
                <w:szCs w:val="22"/>
              </w:rPr>
              <w:t>3</w:t>
            </w:r>
          </w:p>
        </w:tc>
        <w:tc>
          <w:tcPr>
            <w:tcW w:w="3920" w:type="dxa"/>
            <w:tcBorders>
              <w:top w:val="nil"/>
              <w:left w:val="nil"/>
              <w:bottom w:val="single" w:color="auto" w:sz="4" w:space="0"/>
              <w:right w:val="single" w:color="auto" w:sz="4" w:space="0"/>
            </w:tcBorders>
            <w:shd w:val="clear" w:color="auto" w:fill="auto"/>
            <w:vAlign w:val="center"/>
          </w:tcPr>
          <w:p>
            <w:pPr>
              <w:spacing w:line="36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羟苯苯酯</w:t>
            </w:r>
          </w:p>
        </w:tc>
        <w:tc>
          <w:tcPr>
            <w:tcW w:w="4282" w:type="dxa"/>
            <w:tcBorders>
              <w:top w:val="nil"/>
              <w:left w:val="nil"/>
              <w:bottom w:val="single" w:color="auto" w:sz="4" w:space="0"/>
              <w:right w:val="single" w:color="auto" w:sz="8" w:space="0"/>
            </w:tcBorders>
            <w:shd w:val="clear" w:color="auto" w:fill="auto"/>
            <w:vAlign w:val="center"/>
          </w:tcPr>
          <w:p>
            <w:pPr>
              <w:spacing w:line="36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Phenyl 4-hydroxybenzoate (INCI: Phenylparaben)</w:t>
            </w:r>
          </w:p>
        </w:tc>
      </w:tr>
      <w:tr>
        <w:tblPrEx>
          <w:tblCellMar>
            <w:top w:w="0" w:type="dxa"/>
            <w:left w:w="108" w:type="dxa"/>
            <w:bottom w:w="0" w:type="dxa"/>
            <w:right w:w="108" w:type="dxa"/>
          </w:tblCellMar>
        </w:tblPrEx>
        <w:trPr>
          <w:trHeight w:val="600" w:hRule="atLeast"/>
          <w:jc w:val="center"/>
        </w:trPr>
        <w:tc>
          <w:tcPr>
            <w:tcW w:w="860" w:type="dxa"/>
            <w:tcBorders>
              <w:top w:val="nil"/>
              <w:left w:val="single" w:color="auto" w:sz="8" w:space="0"/>
              <w:bottom w:val="single" w:color="auto" w:sz="4" w:space="0"/>
              <w:right w:val="single" w:color="auto" w:sz="4" w:space="0"/>
            </w:tcBorders>
            <w:shd w:val="clear" w:color="auto" w:fill="auto"/>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4</w:t>
            </w:r>
          </w:p>
        </w:tc>
        <w:tc>
          <w:tcPr>
            <w:tcW w:w="3920" w:type="dxa"/>
            <w:tcBorders>
              <w:top w:val="nil"/>
              <w:left w:val="nil"/>
              <w:bottom w:val="single" w:color="auto" w:sz="4" w:space="0"/>
              <w:right w:val="single" w:color="auto" w:sz="4" w:space="0"/>
            </w:tcBorders>
            <w:shd w:val="clear" w:color="auto" w:fill="auto"/>
            <w:vAlign w:val="center"/>
          </w:tcPr>
          <w:p>
            <w:pPr>
              <w:spacing w:line="36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羟苯苄酯</w:t>
            </w:r>
          </w:p>
        </w:tc>
        <w:tc>
          <w:tcPr>
            <w:tcW w:w="4282" w:type="dxa"/>
            <w:tcBorders>
              <w:top w:val="nil"/>
              <w:left w:val="nil"/>
              <w:bottom w:val="single" w:color="auto" w:sz="4" w:space="0"/>
              <w:right w:val="single" w:color="auto" w:sz="8" w:space="0"/>
            </w:tcBorders>
            <w:shd w:val="clear" w:color="auto" w:fill="auto"/>
            <w:vAlign w:val="center"/>
          </w:tcPr>
          <w:p>
            <w:pPr>
              <w:spacing w:line="36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Benzyl 4-hydroxybenzoate (INCI: Benzylparaben)</w:t>
            </w:r>
          </w:p>
        </w:tc>
      </w:tr>
      <w:tr>
        <w:tblPrEx>
          <w:tblCellMar>
            <w:top w:w="0" w:type="dxa"/>
            <w:left w:w="108" w:type="dxa"/>
            <w:bottom w:w="0" w:type="dxa"/>
            <w:right w:w="108" w:type="dxa"/>
          </w:tblCellMar>
        </w:tblPrEx>
        <w:trPr>
          <w:trHeight w:val="600" w:hRule="atLeast"/>
          <w:jc w:val="center"/>
        </w:trPr>
        <w:tc>
          <w:tcPr>
            <w:tcW w:w="860" w:type="dxa"/>
            <w:tcBorders>
              <w:top w:val="nil"/>
              <w:left w:val="single" w:color="auto" w:sz="8" w:space="0"/>
              <w:bottom w:val="single" w:color="auto" w:sz="4" w:space="0"/>
              <w:right w:val="single" w:color="auto" w:sz="4" w:space="0"/>
            </w:tcBorders>
            <w:shd w:val="clear" w:color="auto" w:fill="auto"/>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5</w:t>
            </w:r>
          </w:p>
        </w:tc>
        <w:tc>
          <w:tcPr>
            <w:tcW w:w="3920" w:type="dxa"/>
            <w:tcBorders>
              <w:top w:val="nil"/>
              <w:left w:val="nil"/>
              <w:bottom w:val="single" w:color="auto" w:sz="4" w:space="0"/>
              <w:right w:val="single" w:color="auto" w:sz="4" w:space="0"/>
            </w:tcBorders>
            <w:shd w:val="clear" w:color="auto" w:fill="auto"/>
            <w:vAlign w:val="center"/>
          </w:tcPr>
          <w:p>
            <w:pPr>
              <w:spacing w:line="36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羟苯戊酯</w:t>
            </w:r>
          </w:p>
        </w:tc>
        <w:tc>
          <w:tcPr>
            <w:tcW w:w="4282" w:type="dxa"/>
            <w:tcBorders>
              <w:top w:val="nil"/>
              <w:left w:val="nil"/>
              <w:bottom w:val="single" w:color="auto" w:sz="4" w:space="0"/>
              <w:right w:val="single" w:color="auto" w:sz="8" w:space="0"/>
            </w:tcBorders>
            <w:shd w:val="clear" w:color="auto" w:fill="auto"/>
            <w:vAlign w:val="center"/>
          </w:tcPr>
          <w:p>
            <w:pPr>
              <w:spacing w:line="36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Pentyl 4-hydroxybenzoate (INCI: Pentylparaben)</w:t>
            </w:r>
          </w:p>
        </w:tc>
      </w:tr>
      <w:bookmarkEnd w:id="2"/>
    </w:tbl>
    <w:p>
      <w:pPr>
        <w:pStyle w:val="5"/>
        <w:shd w:val="clear" w:color="auto" w:fill="FFFFFF"/>
        <w:spacing w:before="0" w:beforeAutospacing="0" w:after="0" w:afterAutospacing="0" w:line="360" w:lineRule="auto"/>
        <w:ind w:left="425" w:leftChars="177" w:firstLine="440" w:firstLineChars="200"/>
        <w:rPr>
          <w:rFonts w:hint="default" w:ascii="Times New Roman" w:hAnsi="Times New Roman" w:cs="Times New Roman"/>
          <w:color w:val="000000"/>
          <w:sz w:val="22"/>
          <w:szCs w:val="22"/>
        </w:rPr>
      </w:pPr>
    </w:p>
    <w:p>
      <w:pPr>
        <w:pStyle w:val="5"/>
        <w:shd w:val="clear" w:color="auto" w:fill="FFFFFF"/>
        <w:spacing w:before="0" w:beforeAutospacing="0" w:after="0" w:afterAutospacing="0" w:line="360" w:lineRule="auto"/>
        <w:ind w:firstLine="480" w:firstLineChars="200"/>
        <w:rPr>
          <w:rFonts w:hint="default" w:ascii="Times New Roman" w:hAnsi="Times New Roman" w:cs="Times New Roman"/>
        </w:rPr>
      </w:pPr>
      <w:r>
        <w:rPr>
          <w:rFonts w:hint="default" w:ascii="Times New Roman" w:hAnsi="Times New Roman" w:cs="Times New Roman"/>
        </w:rPr>
        <w:t>同时《化妆品安全技术规范》（2015年版）也规定可以使用部分4-羟基苯甲酸及其盐类和酯类，但规定了使用限量，如下表。</w:t>
      </w:r>
    </w:p>
    <w:p>
      <w:pPr>
        <w:pStyle w:val="5"/>
        <w:shd w:val="clear" w:color="auto" w:fill="FFFFFF"/>
        <w:spacing w:before="0" w:beforeAutospacing="0" w:after="0" w:afterAutospacing="0" w:line="360" w:lineRule="auto"/>
        <w:ind w:left="425" w:leftChars="177" w:firstLine="480" w:firstLineChars="200"/>
        <w:rPr>
          <w:rFonts w:hint="default" w:ascii="Times New Roman" w:hAnsi="Times New Roman" w:cs="Times New Roman"/>
        </w:rPr>
      </w:pPr>
    </w:p>
    <w:p>
      <w:pPr>
        <w:pStyle w:val="5"/>
        <w:shd w:val="clear" w:color="auto" w:fill="FFFFFF"/>
        <w:spacing w:before="0" w:beforeAutospacing="0" w:after="0" w:afterAutospacing="0" w:line="360" w:lineRule="auto"/>
        <w:ind w:left="425" w:leftChars="177" w:firstLine="440" w:firstLineChars="200"/>
        <w:jc w:val="center"/>
        <w:rPr>
          <w:rFonts w:hint="default" w:ascii="Times New Roman" w:hAnsi="Times New Roman" w:cs="Times New Roman"/>
          <w:color w:val="000000"/>
          <w:sz w:val="22"/>
          <w:szCs w:val="22"/>
        </w:rPr>
      </w:pPr>
      <w:bookmarkStart w:id="3" w:name="OLE_LINK11"/>
      <w:r>
        <w:rPr>
          <w:rFonts w:hint="default" w:ascii="Times New Roman" w:hAnsi="Times New Roman" w:cs="Times New Roman"/>
          <w:color w:val="000000"/>
          <w:sz w:val="22"/>
          <w:szCs w:val="22"/>
        </w:rPr>
        <w:t>表2. 《化妆品安全技术规范》（2015年版）</w:t>
      </w:r>
      <w:bookmarkEnd w:id="3"/>
      <w:r>
        <w:rPr>
          <w:rFonts w:hint="default" w:ascii="Times New Roman" w:hAnsi="Times New Roman" w:cs="Times New Roman"/>
          <w:color w:val="000000"/>
          <w:sz w:val="22"/>
          <w:szCs w:val="22"/>
        </w:rPr>
        <w:t>限用列表</w:t>
      </w:r>
    </w:p>
    <w:p>
      <w:pPr>
        <w:pStyle w:val="5"/>
        <w:shd w:val="clear" w:color="auto" w:fill="FFFFFF"/>
        <w:spacing w:before="0" w:beforeAutospacing="0" w:after="0" w:afterAutospacing="0" w:line="360" w:lineRule="auto"/>
        <w:ind w:left="425" w:leftChars="177" w:firstLine="480" w:firstLineChars="200"/>
        <w:jc w:val="center"/>
        <w:rPr>
          <w:rFonts w:hint="default" w:ascii="Times New Roman" w:hAnsi="Times New Roman" w:cs="Times New Roman"/>
        </w:rPr>
      </w:pPr>
    </w:p>
    <w:tbl>
      <w:tblPr>
        <w:tblStyle w:val="6"/>
        <w:tblW w:w="9052" w:type="dxa"/>
        <w:jc w:val="center"/>
        <w:tblLayout w:type="autofit"/>
        <w:tblCellMar>
          <w:top w:w="0" w:type="dxa"/>
          <w:left w:w="108" w:type="dxa"/>
          <w:bottom w:w="0" w:type="dxa"/>
          <w:right w:w="108" w:type="dxa"/>
        </w:tblCellMar>
      </w:tblPr>
      <w:tblGrid>
        <w:gridCol w:w="706"/>
        <w:gridCol w:w="2662"/>
        <w:gridCol w:w="2718"/>
        <w:gridCol w:w="2966"/>
      </w:tblGrid>
      <w:tr>
        <w:tblPrEx>
          <w:tblCellMar>
            <w:top w:w="0" w:type="dxa"/>
            <w:left w:w="108" w:type="dxa"/>
            <w:bottom w:w="0" w:type="dxa"/>
            <w:right w:w="108" w:type="dxa"/>
          </w:tblCellMar>
        </w:tblPrEx>
        <w:trPr>
          <w:trHeight w:val="539" w:hRule="atLeast"/>
          <w:jc w:val="center"/>
        </w:trPr>
        <w:tc>
          <w:tcPr>
            <w:tcW w:w="706" w:type="dxa"/>
            <w:tcBorders>
              <w:top w:val="single" w:color="auto" w:sz="8" w:space="0"/>
              <w:left w:val="single" w:color="auto" w:sz="8" w:space="0"/>
              <w:bottom w:val="single" w:color="auto" w:sz="4" w:space="0"/>
              <w:right w:val="single" w:color="auto" w:sz="4" w:space="0"/>
            </w:tcBorders>
            <w:shd w:val="clear" w:color="auto" w:fill="auto"/>
            <w:vAlign w:val="center"/>
          </w:tcPr>
          <w:p>
            <w:pPr>
              <w:spacing w:line="360" w:lineRule="auto"/>
              <w:rPr>
                <w:rFonts w:hint="default" w:ascii="Times New Roman" w:hAnsi="Times New Roman" w:cs="Times New Roman"/>
                <w:b/>
                <w:bCs/>
                <w:color w:val="000000"/>
                <w:sz w:val="22"/>
                <w:szCs w:val="22"/>
              </w:rPr>
            </w:pPr>
            <w:r>
              <w:rPr>
                <w:rFonts w:hint="default" w:ascii="Times New Roman" w:hAnsi="Times New Roman" w:cs="Times New Roman"/>
                <w:b/>
                <w:bCs/>
                <w:color w:val="000000"/>
                <w:sz w:val="22"/>
                <w:szCs w:val="22"/>
              </w:rPr>
              <w:t>序号</w:t>
            </w:r>
          </w:p>
        </w:tc>
        <w:tc>
          <w:tcPr>
            <w:tcW w:w="8346" w:type="dxa"/>
            <w:gridSpan w:val="3"/>
            <w:tcBorders>
              <w:top w:val="single" w:color="auto" w:sz="8" w:space="0"/>
              <w:left w:val="nil"/>
              <w:bottom w:val="single" w:color="auto" w:sz="4" w:space="0"/>
              <w:right w:val="single" w:color="000000" w:sz="8" w:space="0"/>
            </w:tcBorders>
            <w:shd w:val="clear" w:color="auto" w:fill="auto"/>
            <w:vAlign w:val="center"/>
          </w:tcPr>
          <w:p>
            <w:pPr>
              <w:spacing w:line="360" w:lineRule="auto"/>
              <w:jc w:val="center"/>
              <w:rPr>
                <w:rFonts w:hint="default" w:ascii="Times New Roman" w:hAnsi="Times New Roman" w:cs="Times New Roman"/>
                <w:b/>
                <w:bCs/>
                <w:color w:val="000000"/>
                <w:sz w:val="22"/>
                <w:szCs w:val="22"/>
              </w:rPr>
            </w:pPr>
            <w:r>
              <w:rPr>
                <w:rFonts w:hint="default" w:ascii="Times New Roman" w:hAnsi="Times New Roman" w:cs="Times New Roman"/>
                <w:b/>
                <w:bCs/>
                <w:color w:val="000000"/>
                <w:sz w:val="22"/>
                <w:szCs w:val="22"/>
              </w:rPr>
              <w:t>物质名称</w:t>
            </w:r>
          </w:p>
        </w:tc>
      </w:tr>
      <w:tr>
        <w:tblPrEx>
          <w:tblCellMar>
            <w:top w:w="0" w:type="dxa"/>
            <w:left w:w="108" w:type="dxa"/>
            <w:bottom w:w="0" w:type="dxa"/>
            <w:right w:w="108" w:type="dxa"/>
          </w:tblCellMar>
        </w:tblPrEx>
        <w:trPr>
          <w:trHeight w:val="600" w:hRule="atLeast"/>
          <w:jc w:val="center"/>
        </w:trPr>
        <w:tc>
          <w:tcPr>
            <w:tcW w:w="706" w:type="dxa"/>
            <w:tcBorders>
              <w:top w:val="nil"/>
              <w:left w:val="single" w:color="auto" w:sz="8" w:space="0"/>
              <w:bottom w:val="single" w:color="auto" w:sz="4" w:space="0"/>
              <w:right w:val="single" w:color="auto" w:sz="4" w:space="0"/>
            </w:tcBorders>
            <w:shd w:val="clear" w:color="auto" w:fill="auto"/>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w:t>
            </w:r>
          </w:p>
        </w:tc>
        <w:tc>
          <w:tcPr>
            <w:tcW w:w="2662" w:type="dxa"/>
            <w:tcBorders>
              <w:top w:val="nil"/>
              <w:left w:val="nil"/>
              <w:bottom w:val="single" w:color="auto" w:sz="4" w:space="0"/>
              <w:right w:val="single" w:color="auto" w:sz="4" w:space="0"/>
            </w:tcBorders>
            <w:shd w:val="clear" w:color="auto" w:fill="auto"/>
            <w:vAlign w:val="center"/>
          </w:tcPr>
          <w:p>
            <w:pPr>
              <w:spacing w:line="360" w:lineRule="auto"/>
              <w:rPr>
                <w:rFonts w:hint="default" w:ascii="Times New Roman" w:hAnsi="Times New Roman" w:cs="Times New Roman"/>
                <w:color w:val="000000"/>
                <w:sz w:val="22"/>
                <w:szCs w:val="22"/>
              </w:rPr>
            </w:pPr>
            <w:bookmarkStart w:id="4" w:name="OLE_LINK8"/>
            <w:bookmarkStart w:id="5" w:name="OLE_LINK7"/>
            <w:r>
              <w:rPr>
                <w:rFonts w:hint="default" w:ascii="Times New Roman" w:hAnsi="Times New Roman" w:cs="Times New Roman"/>
                <w:color w:val="000000"/>
                <w:sz w:val="22"/>
                <w:szCs w:val="22"/>
              </w:rPr>
              <w:t>4-羟基苯甲酸及其盐类和酯类</w:t>
            </w:r>
            <w:bookmarkEnd w:id="4"/>
            <w:bookmarkEnd w:id="5"/>
          </w:p>
        </w:tc>
        <w:tc>
          <w:tcPr>
            <w:tcW w:w="2718" w:type="dxa"/>
            <w:tcBorders>
              <w:top w:val="nil"/>
              <w:left w:val="nil"/>
              <w:bottom w:val="single" w:color="auto" w:sz="4" w:space="0"/>
              <w:right w:val="single" w:color="auto" w:sz="8" w:space="0"/>
            </w:tcBorders>
            <w:shd w:val="clear" w:color="auto" w:fill="auto"/>
            <w:vAlign w:val="center"/>
          </w:tcPr>
          <w:p>
            <w:pPr>
              <w:spacing w:line="36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4-Hydroxybenzoic acid and its salts and esters</w:t>
            </w:r>
          </w:p>
        </w:tc>
        <w:tc>
          <w:tcPr>
            <w:tcW w:w="2966" w:type="dxa"/>
            <w:tcBorders>
              <w:top w:val="nil"/>
              <w:left w:val="nil"/>
              <w:bottom w:val="single" w:color="auto" w:sz="4" w:space="0"/>
              <w:right w:val="single" w:color="auto" w:sz="8" w:space="0"/>
            </w:tcBorders>
          </w:tcPr>
          <w:p>
            <w:pPr>
              <w:spacing w:line="36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化妆品使用时的最大允许浓度：单一酯 0.4%（以酸计）；混合酯总量 0.8%（以酸计）；且其丙酯及其盐类、丁酯及其盐类之和分别不得超过 0.14%（以酸计）</w:t>
            </w:r>
          </w:p>
        </w:tc>
      </w:tr>
      <w:tr>
        <w:tblPrEx>
          <w:tblCellMar>
            <w:top w:w="0" w:type="dxa"/>
            <w:left w:w="108" w:type="dxa"/>
            <w:bottom w:w="0" w:type="dxa"/>
            <w:right w:w="108" w:type="dxa"/>
          </w:tblCellMar>
        </w:tblPrEx>
        <w:trPr>
          <w:trHeight w:val="1320" w:hRule="atLeast"/>
          <w:jc w:val="center"/>
        </w:trPr>
        <w:tc>
          <w:tcPr>
            <w:tcW w:w="9052" w:type="dxa"/>
            <w:gridSpan w:val="4"/>
            <w:tcBorders>
              <w:top w:val="nil"/>
              <w:left w:val="single" w:color="auto" w:sz="8" w:space="0"/>
              <w:bottom w:val="single" w:color="auto" w:sz="8" w:space="0"/>
              <w:right w:val="single" w:color="000000" w:sz="8" w:space="0"/>
            </w:tcBorders>
            <w:shd w:val="clear" w:color="auto" w:fill="auto"/>
            <w:vAlign w:val="center"/>
          </w:tcPr>
          <w:p>
            <w:pPr>
              <w:spacing w:line="36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注：这类物质不包括禁用列表中的4-羟基苯甲酸异丙酯（isopropylparaben）及其盐，4-羟基苯甲酸异丁酯（isobutylparaben）及其盐，4-羟基苯甲酸苯酯（phenylparaben），4-羟基苯甲酸苄酯及其盐， 4-羟基苯甲酸戊酯及其盐。</w:t>
            </w:r>
          </w:p>
        </w:tc>
      </w:tr>
    </w:tbl>
    <w:p>
      <w:pPr>
        <w:pStyle w:val="5"/>
        <w:shd w:val="clear" w:color="auto" w:fill="FFFFFF"/>
        <w:spacing w:before="0" w:beforeAutospacing="0" w:after="0" w:afterAutospacing="0" w:line="360" w:lineRule="auto"/>
        <w:ind w:left="425" w:leftChars="177" w:firstLine="480" w:firstLineChars="200"/>
        <w:rPr>
          <w:rFonts w:hint="default" w:ascii="Times New Roman" w:hAnsi="Times New Roman" w:cs="Times New Roman"/>
        </w:rPr>
      </w:pPr>
    </w:p>
    <w:p>
      <w:pPr>
        <w:pStyle w:val="5"/>
        <w:shd w:val="clear" w:color="auto" w:fill="FFFFFF"/>
        <w:spacing w:before="0" w:beforeAutospacing="0" w:after="0" w:afterAutospacing="0" w:line="360" w:lineRule="auto"/>
        <w:ind w:firstLine="480" w:firstLineChars="200"/>
        <w:rPr>
          <w:rFonts w:hint="default" w:ascii="Times New Roman" w:hAnsi="Times New Roman" w:cs="Times New Roman"/>
        </w:rPr>
      </w:pPr>
      <w:r>
        <w:rPr>
          <w:rFonts w:hint="default" w:ascii="Times New Roman" w:hAnsi="Times New Roman" w:cs="Times New Roman"/>
        </w:rPr>
        <w:t>《化妆品安全技术规范》（2015年版）4.7 甲基氯异噻唑啉酮等12种组分的HPLC-DAD检测方法涉及6种4-羟基苯甲酸及其盐和酯类：4-羟基苯甲酸甲酯、4-羟基苯甲酸乙酯、4-羟基苯甲酸异丙酯、4-羟基苯甲酸丙酯、4-羟基苯甲酸异丁酯和4-羟基苯甲酸丁酯。禁用列表中的羟苯异丙酯及其盐、羟苯异丁酯及其盐在此方法中，但禁用列表中的羟苯苯酯、羟苯苄酯和羟苯戊酯不在此测试方法中。</w:t>
      </w:r>
    </w:p>
    <w:p>
      <w:pPr>
        <w:pStyle w:val="5"/>
        <w:shd w:val="clear" w:color="auto" w:fill="FFFFFF"/>
        <w:spacing w:before="0" w:beforeAutospacing="0" w:after="0" w:afterAutospacing="0" w:line="360" w:lineRule="auto"/>
        <w:ind w:firstLine="480" w:firstLineChars="200"/>
        <w:rPr>
          <w:rFonts w:hint="default" w:ascii="Times New Roman" w:hAnsi="Times New Roman" w:cs="Times New Roman"/>
          <w:i/>
          <w:iCs/>
        </w:rPr>
      </w:pPr>
    </w:p>
    <w:p>
      <w:pPr>
        <w:pStyle w:val="5"/>
        <w:shd w:val="clear" w:color="auto" w:fill="FFFFFF"/>
        <w:spacing w:before="0" w:beforeAutospacing="0" w:after="0" w:afterAutospacing="0" w:line="360" w:lineRule="auto"/>
        <w:ind w:firstLine="480" w:firstLineChars="200"/>
        <w:rPr>
          <w:rFonts w:hint="default" w:ascii="Times New Roman" w:hAnsi="Times New Roman" w:cs="Times New Roman"/>
        </w:rPr>
      </w:pPr>
      <w:r>
        <w:rPr>
          <w:rFonts w:hint="default" w:ascii="Times New Roman" w:hAnsi="Times New Roman" w:cs="Times New Roman"/>
        </w:rPr>
        <w:t>另外，欧盟有关法规和标准对4-羟基苯甲酸及其盐类和酯类的规定如下表：</w:t>
      </w:r>
    </w:p>
    <w:p>
      <w:pPr>
        <w:pStyle w:val="5"/>
        <w:shd w:val="clear" w:color="auto" w:fill="FFFFFF"/>
        <w:spacing w:before="0" w:beforeAutospacing="0" w:after="0" w:afterAutospacing="0" w:line="360" w:lineRule="auto"/>
        <w:ind w:firstLine="440" w:firstLineChars="200"/>
        <w:jc w:val="center"/>
        <w:rPr>
          <w:rFonts w:hint="default" w:ascii="Times New Roman" w:hAnsi="Times New Roman" w:cs="Times New Roman"/>
        </w:rPr>
      </w:pPr>
      <w:r>
        <w:rPr>
          <w:rFonts w:hint="default" w:ascii="Times New Roman" w:hAnsi="Times New Roman" w:cs="Times New Roman"/>
          <w:color w:val="000000"/>
          <w:sz w:val="22"/>
          <w:szCs w:val="22"/>
        </w:rPr>
        <w:t xml:space="preserve">表3. </w:t>
      </w:r>
      <w:bookmarkStart w:id="6" w:name="OLE_LINK2"/>
      <w:bookmarkStart w:id="7" w:name="OLE_LINK1"/>
      <w:r>
        <w:rPr>
          <w:rFonts w:hint="default" w:ascii="Times New Roman" w:hAnsi="Times New Roman" w:cs="Times New Roman"/>
          <w:color w:val="000000"/>
          <w:sz w:val="22"/>
          <w:szCs w:val="22"/>
        </w:rPr>
        <w:t>欧盟(EC) No 1223/2009</w:t>
      </w:r>
      <w:bookmarkEnd w:id="6"/>
      <w:bookmarkEnd w:id="7"/>
      <w:r>
        <w:rPr>
          <w:rFonts w:hint="default" w:ascii="Times New Roman" w:hAnsi="Times New Roman" w:cs="Times New Roman"/>
          <w:color w:val="000000"/>
          <w:sz w:val="22"/>
          <w:szCs w:val="22"/>
        </w:rPr>
        <w:t>禁用列表</w:t>
      </w:r>
    </w:p>
    <w:tbl>
      <w:tblPr>
        <w:tblStyle w:val="6"/>
        <w:tblW w:w="906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860"/>
        <w:gridCol w:w="3920"/>
        <w:gridCol w:w="428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7" w:hRule="atLeast"/>
          <w:tblHeader/>
          <w:jc w:val="center"/>
        </w:trPr>
        <w:tc>
          <w:tcPr>
            <w:tcW w:w="860" w:type="dxa"/>
            <w:shd w:val="clear" w:color="auto" w:fill="auto"/>
            <w:vAlign w:val="center"/>
          </w:tcPr>
          <w:p>
            <w:pPr>
              <w:spacing w:line="360" w:lineRule="auto"/>
              <w:jc w:val="center"/>
              <w:rPr>
                <w:rFonts w:hint="default" w:ascii="Times New Roman" w:hAnsi="Times New Roman" w:cs="Times New Roman"/>
                <w:b/>
                <w:bCs/>
                <w:color w:val="000000"/>
                <w:sz w:val="22"/>
                <w:szCs w:val="22"/>
              </w:rPr>
            </w:pPr>
            <w:r>
              <w:rPr>
                <w:rFonts w:hint="default" w:ascii="Times New Roman" w:hAnsi="Times New Roman" w:cs="Times New Roman"/>
                <w:b/>
                <w:bCs/>
                <w:color w:val="000000"/>
                <w:sz w:val="22"/>
                <w:szCs w:val="22"/>
              </w:rPr>
              <w:t>序号</w:t>
            </w:r>
          </w:p>
        </w:tc>
        <w:tc>
          <w:tcPr>
            <w:tcW w:w="8202" w:type="dxa"/>
            <w:gridSpan w:val="2"/>
            <w:shd w:val="clear" w:color="auto" w:fill="auto"/>
            <w:vAlign w:val="center"/>
          </w:tcPr>
          <w:p>
            <w:pPr>
              <w:spacing w:line="360" w:lineRule="auto"/>
              <w:jc w:val="center"/>
              <w:rPr>
                <w:rFonts w:hint="default" w:ascii="Times New Roman" w:hAnsi="Times New Roman" w:cs="Times New Roman"/>
                <w:b/>
                <w:bCs/>
                <w:color w:val="000000"/>
                <w:sz w:val="22"/>
                <w:szCs w:val="22"/>
              </w:rPr>
            </w:pPr>
            <w:r>
              <w:rPr>
                <w:rFonts w:hint="default" w:ascii="Times New Roman" w:hAnsi="Times New Roman" w:cs="Times New Roman"/>
                <w:b/>
                <w:bCs/>
                <w:color w:val="000000"/>
                <w:sz w:val="22"/>
                <w:szCs w:val="22"/>
              </w:rPr>
              <w:t>物质名称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55" w:hRule="atLeast"/>
          <w:jc w:val="center"/>
        </w:trPr>
        <w:tc>
          <w:tcPr>
            <w:tcW w:w="860" w:type="dxa"/>
            <w:shd w:val="clear" w:color="auto" w:fill="auto"/>
            <w:vAlign w:val="center"/>
          </w:tcPr>
          <w:p>
            <w:pPr>
              <w:spacing w:line="360" w:lineRule="auto"/>
              <w:jc w:val="center"/>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1</w:t>
            </w:r>
          </w:p>
        </w:tc>
        <w:tc>
          <w:tcPr>
            <w:tcW w:w="3920" w:type="dxa"/>
            <w:shd w:val="clear" w:color="auto" w:fill="auto"/>
            <w:vAlign w:val="center"/>
          </w:tcPr>
          <w:p>
            <w:pPr>
              <w:spacing w:line="36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羟苯异丙酯及其盐</w:t>
            </w:r>
          </w:p>
        </w:tc>
        <w:tc>
          <w:tcPr>
            <w:tcW w:w="4282" w:type="dxa"/>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Isopropyl 4-hydroxybenzoate (INCI: Isopropylparaben) Sodium salt or Salts of Isopropylparaben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70" w:hRule="atLeast"/>
          <w:jc w:val="center"/>
        </w:trPr>
        <w:tc>
          <w:tcPr>
            <w:tcW w:w="860" w:type="dxa"/>
            <w:shd w:val="clear" w:color="auto" w:fill="auto"/>
            <w:vAlign w:val="center"/>
          </w:tcPr>
          <w:p>
            <w:pPr>
              <w:spacing w:line="360" w:lineRule="auto"/>
              <w:jc w:val="center"/>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2</w:t>
            </w:r>
          </w:p>
        </w:tc>
        <w:tc>
          <w:tcPr>
            <w:tcW w:w="3920" w:type="dxa"/>
            <w:shd w:val="clear" w:color="auto" w:fill="auto"/>
            <w:vAlign w:val="center"/>
          </w:tcPr>
          <w:p>
            <w:pPr>
              <w:spacing w:line="36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羟苯异丁酯</w:t>
            </w:r>
          </w:p>
        </w:tc>
        <w:tc>
          <w:tcPr>
            <w:tcW w:w="4282" w:type="dxa"/>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Isobutyl 4-hydroxybenzoate (INCI: Isobutylparaben)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37" w:hRule="atLeast"/>
          <w:jc w:val="center"/>
        </w:trPr>
        <w:tc>
          <w:tcPr>
            <w:tcW w:w="860" w:type="dxa"/>
            <w:shd w:val="clear" w:color="auto" w:fill="auto"/>
            <w:vAlign w:val="center"/>
          </w:tcPr>
          <w:p>
            <w:pPr>
              <w:spacing w:line="360" w:lineRule="auto"/>
              <w:jc w:val="center"/>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3</w:t>
            </w:r>
          </w:p>
        </w:tc>
        <w:tc>
          <w:tcPr>
            <w:tcW w:w="3920" w:type="dxa"/>
            <w:shd w:val="clear" w:color="auto" w:fill="auto"/>
            <w:vAlign w:val="center"/>
          </w:tcPr>
          <w:p>
            <w:pPr>
              <w:spacing w:line="36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羟苯异丁酯盐</w:t>
            </w:r>
          </w:p>
        </w:tc>
        <w:tc>
          <w:tcPr>
            <w:tcW w:w="4282" w:type="dxa"/>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Sodium salt or Salts of Isobutylparaben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70" w:hRule="atLeast"/>
          <w:jc w:val="center"/>
        </w:trPr>
        <w:tc>
          <w:tcPr>
            <w:tcW w:w="860" w:type="dxa"/>
            <w:shd w:val="clear" w:color="auto" w:fill="auto"/>
            <w:vAlign w:val="center"/>
          </w:tcPr>
          <w:p>
            <w:pPr>
              <w:spacing w:line="360" w:lineRule="auto"/>
              <w:jc w:val="center"/>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4</w:t>
            </w:r>
          </w:p>
        </w:tc>
        <w:tc>
          <w:tcPr>
            <w:tcW w:w="3920" w:type="dxa"/>
            <w:shd w:val="clear" w:color="auto" w:fill="auto"/>
            <w:vAlign w:val="center"/>
          </w:tcPr>
          <w:p>
            <w:pPr>
              <w:spacing w:line="36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羟苯苯酯</w:t>
            </w:r>
          </w:p>
        </w:tc>
        <w:tc>
          <w:tcPr>
            <w:tcW w:w="4282" w:type="dxa"/>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Phenyl 4-hydroxybenzoate (INCI: Phenylparaben)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70" w:hRule="atLeast"/>
          <w:jc w:val="center"/>
        </w:trPr>
        <w:tc>
          <w:tcPr>
            <w:tcW w:w="860" w:type="dxa"/>
            <w:shd w:val="clear" w:color="auto" w:fill="auto"/>
            <w:vAlign w:val="center"/>
          </w:tcPr>
          <w:p>
            <w:pPr>
              <w:spacing w:line="360" w:lineRule="auto"/>
              <w:jc w:val="center"/>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5</w:t>
            </w:r>
          </w:p>
        </w:tc>
        <w:tc>
          <w:tcPr>
            <w:tcW w:w="3920" w:type="dxa"/>
            <w:shd w:val="clear" w:color="auto" w:fill="auto"/>
            <w:vAlign w:val="center"/>
          </w:tcPr>
          <w:p>
            <w:pPr>
              <w:spacing w:line="36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羟苯苄酯</w:t>
            </w:r>
          </w:p>
        </w:tc>
        <w:tc>
          <w:tcPr>
            <w:tcW w:w="4282" w:type="dxa"/>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Benzyl 4-hydroxybenzoate (INCI: Benzylparaben)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70" w:hRule="atLeast"/>
          <w:jc w:val="center"/>
        </w:trPr>
        <w:tc>
          <w:tcPr>
            <w:tcW w:w="860" w:type="dxa"/>
            <w:shd w:val="clear" w:color="auto" w:fill="auto"/>
            <w:vAlign w:val="center"/>
          </w:tcPr>
          <w:p>
            <w:pPr>
              <w:spacing w:line="360" w:lineRule="auto"/>
              <w:jc w:val="center"/>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6</w:t>
            </w:r>
          </w:p>
        </w:tc>
        <w:tc>
          <w:tcPr>
            <w:tcW w:w="3920" w:type="dxa"/>
            <w:shd w:val="clear" w:color="auto" w:fill="auto"/>
            <w:vAlign w:val="center"/>
          </w:tcPr>
          <w:p>
            <w:pPr>
              <w:spacing w:line="36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羟苯戊酯</w:t>
            </w:r>
          </w:p>
        </w:tc>
        <w:tc>
          <w:tcPr>
            <w:tcW w:w="4282" w:type="dxa"/>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Pentyl 4-hydroxybenzoate (INCI: Pentylparaben)</w:t>
            </w:r>
          </w:p>
        </w:tc>
      </w:tr>
    </w:tbl>
    <w:p>
      <w:pPr>
        <w:spacing w:line="360" w:lineRule="auto"/>
        <w:jc w:val="center"/>
        <w:rPr>
          <w:rFonts w:hint="default" w:ascii="Times New Roman" w:hAnsi="Times New Roman" w:cs="Times New Roman"/>
          <w:color w:val="000000"/>
          <w:sz w:val="22"/>
          <w:szCs w:val="22"/>
        </w:rPr>
      </w:pPr>
    </w:p>
    <w:p>
      <w:pPr>
        <w:spacing w:line="360" w:lineRule="auto"/>
        <w:jc w:val="center"/>
        <w:rPr>
          <w:rFonts w:hint="default" w:ascii="Times New Roman" w:hAnsi="Times New Roman" w:cs="Times New Roman"/>
          <w:szCs w:val="21"/>
        </w:rPr>
      </w:pPr>
      <w:r>
        <w:rPr>
          <w:rFonts w:hint="default" w:ascii="Times New Roman" w:hAnsi="Times New Roman" w:cs="Times New Roman"/>
          <w:color w:val="000000"/>
          <w:sz w:val="22"/>
          <w:szCs w:val="22"/>
        </w:rPr>
        <w:t>表4. 欧盟(EC) No 1223/2009限用列表</w:t>
      </w:r>
    </w:p>
    <w:tbl>
      <w:tblPr>
        <w:tblStyle w:val="6"/>
        <w:tblW w:w="9062" w:type="dxa"/>
        <w:jc w:val="center"/>
        <w:tblLayout w:type="autofit"/>
        <w:tblCellMar>
          <w:top w:w="0" w:type="dxa"/>
          <w:left w:w="108" w:type="dxa"/>
          <w:bottom w:w="0" w:type="dxa"/>
          <w:right w:w="108" w:type="dxa"/>
        </w:tblCellMar>
      </w:tblPr>
      <w:tblGrid>
        <w:gridCol w:w="907"/>
        <w:gridCol w:w="4045"/>
        <w:gridCol w:w="4110"/>
      </w:tblGrid>
      <w:tr>
        <w:tblPrEx>
          <w:tblCellMar>
            <w:top w:w="0" w:type="dxa"/>
            <w:left w:w="108" w:type="dxa"/>
            <w:bottom w:w="0" w:type="dxa"/>
            <w:right w:w="108" w:type="dxa"/>
          </w:tblCellMar>
        </w:tblPrEx>
        <w:trPr>
          <w:trHeight w:val="537" w:hRule="atLeast"/>
          <w:tblHeader/>
          <w:jc w:val="center"/>
        </w:trPr>
        <w:tc>
          <w:tcPr>
            <w:tcW w:w="907" w:type="dxa"/>
            <w:tcBorders>
              <w:top w:val="single" w:color="auto" w:sz="4" w:space="0"/>
              <w:left w:val="single" w:color="auto" w:sz="8" w:space="0"/>
              <w:bottom w:val="single" w:color="auto" w:sz="4" w:space="0"/>
              <w:right w:val="single" w:color="auto" w:sz="4" w:space="0"/>
            </w:tcBorders>
            <w:shd w:val="clear" w:color="auto" w:fill="auto"/>
            <w:vAlign w:val="center"/>
          </w:tcPr>
          <w:p>
            <w:pPr>
              <w:spacing w:line="360" w:lineRule="auto"/>
              <w:jc w:val="center"/>
              <w:rPr>
                <w:rFonts w:hint="default" w:ascii="Times New Roman" w:hAnsi="Times New Roman" w:cs="Times New Roman"/>
                <w:b/>
                <w:bCs/>
                <w:color w:val="000000"/>
                <w:sz w:val="22"/>
                <w:szCs w:val="22"/>
              </w:rPr>
            </w:pPr>
            <w:r>
              <w:rPr>
                <w:rFonts w:hint="default" w:ascii="Times New Roman" w:hAnsi="Times New Roman" w:cs="Times New Roman"/>
                <w:b/>
                <w:bCs/>
                <w:color w:val="000000"/>
                <w:sz w:val="22"/>
                <w:szCs w:val="22"/>
              </w:rPr>
              <w:t>序号</w:t>
            </w:r>
          </w:p>
        </w:tc>
        <w:tc>
          <w:tcPr>
            <w:tcW w:w="8155" w:type="dxa"/>
            <w:gridSpan w:val="2"/>
            <w:tcBorders>
              <w:top w:val="single" w:color="auto" w:sz="4" w:space="0"/>
              <w:left w:val="nil"/>
              <w:bottom w:val="single" w:color="auto" w:sz="4" w:space="0"/>
              <w:right w:val="single" w:color="000000" w:sz="8" w:space="0"/>
            </w:tcBorders>
            <w:shd w:val="clear" w:color="auto" w:fill="auto"/>
            <w:vAlign w:val="center"/>
          </w:tcPr>
          <w:p>
            <w:pPr>
              <w:spacing w:line="360" w:lineRule="auto"/>
              <w:jc w:val="center"/>
              <w:rPr>
                <w:rFonts w:hint="default" w:ascii="Times New Roman" w:hAnsi="Times New Roman" w:cs="Times New Roman"/>
                <w:b/>
                <w:bCs/>
                <w:color w:val="000000"/>
                <w:sz w:val="22"/>
                <w:szCs w:val="22"/>
              </w:rPr>
            </w:pPr>
            <w:r>
              <w:rPr>
                <w:rFonts w:hint="default" w:ascii="Times New Roman" w:hAnsi="Times New Roman" w:cs="Times New Roman"/>
                <w:b/>
                <w:bCs/>
                <w:color w:val="000000"/>
                <w:sz w:val="22"/>
                <w:szCs w:val="22"/>
              </w:rPr>
              <w:t>物质名称</w:t>
            </w:r>
          </w:p>
        </w:tc>
      </w:tr>
      <w:tr>
        <w:tblPrEx>
          <w:tblCellMar>
            <w:top w:w="0" w:type="dxa"/>
            <w:left w:w="108" w:type="dxa"/>
            <w:bottom w:w="0" w:type="dxa"/>
            <w:right w:w="108" w:type="dxa"/>
          </w:tblCellMar>
        </w:tblPrEx>
        <w:trPr>
          <w:trHeight w:val="537" w:hRule="atLeast"/>
          <w:jc w:val="center"/>
        </w:trPr>
        <w:tc>
          <w:tcPr>
            <w:tcW w:w="907" w:type="dxa"/>
            <w:tcBorders>
              <w:top w:val="nil"/>
              <w:left w:val="single" w:color="auto" w:sz="8" w:space="0"/>
              <w:bottom w:val="single" w:color="auto" w:sz="4" w:space="0"/>
              <w:right w:val="single" w:color="auto" w:sz="4" w:space="0"/>
            </w:tcBorders>
            <w:shd w:val="clear" w:color="auto" w:fill="auto"/>
            <w:vAlign w:val="center"/>
          </w:tcPr>
          <w:p>
            <w:pPr>
              <w:spacing w:line="360" w:lineRule="auto"/>
              <w:jc w:val="center"/>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1</w:t>
            </w:r>
          </w:p>
        </w:tc>
        <w:tc>
          <w:tcPr>
            <w:tcW w:w="4045" w:type="dxa"/>
            <w:tcBorders>
              <w:top w:val="nil"/>
              <w:left w:val="nil"/>
              <w:bottom w:val="single" w:color="auto" w:sz="4" w:space="0"/>
              <w:right w:val="single" w:color="auto" w:sz="4" w:space="0"/>
            </w:tcBorders>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4-</w:t>
            </w:r>
            <w:r>
              <w:rPr>
                <w:rFonts w:hint="default" w:ascii="Times New Roman" w:hAnsi="Times New Roman" w:cs="Times New Roman"/>
                <w:color w:val="000000"/>
                <w:sz w:val="22"/>
                <w:szCs w:val="22"/>
              </w:rPr>
              <w:t>羟基苯甲酸</w:t>
            </w:r>
            <w:r>
              <w:rPr>
                <w:rFonts w:hint="default" w:ascii="Times New Roman" w:hAnsi="Times New Roman" w:eastAsia="等线" w:cs="Times New Roman"/>
                <w:color w:val="000000"/>
                <w:sz w:val="22"/>
                <w:szCs w:val="22"/>
              </w:rPr>
              <w:t xml:space="preserve"> </w:t>
            </w:r>
          </w:p>
        </w:tc>
        <w:tc>
          <w:tcPr>
            <w:tcW w:w="4110" w:type="dxa"/>
            <w:tcBorders>
              <w:top w:val="nil"/>
              <w:left w:val="nil"/>
              <w:bottom w:val="single" w:color="auto" w:sz="4" w:space="0"/>
              <w:right w:val="single" w:color="auto" w:sz="8" w:space="0"/>
            </w:tcBorders>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 xml:space="preserve">4-Hydroxybenzoic acid     </w:t>
            </w:r>
          </w:p>
        </w:tc>
      </w:tr>
      <w:tr>
        <w:tblPrEx>
          <w:tblCellMar>
            <w:top w:w="0" w:type="dxa"/>
            <w:left w:w="108" w:type="dxa"/>
            <w:bottom w:w="0" w:type="dxa"/>
            <w:right w:w="108" w:type="dxa"/>
          </w:tblCellMar>
        </w:tblPrEx>
        <w:trPr>
          <w:trHeight w:val="537" w:hRule="atLeast"/>
          <w:jc w:val="center"/>
        </w:trPr>
        <w:tc>
          <w:tcPr>
            <w:tcW w:w="907" w:type="dxa"/>
            <w:tcBorders>
              <w:top w:val="nil"/>
              <w:left w:val="single" w:color="auto" w:sz="8" w:space="0"/>
              <w:bottom w:val="single" w:color="auto" w:sz="4" w:space="0"/>
              <w:right w:val="single" w:color="auto" w:sz="4" w:space="0"/>
            </w:tcBorders>
            <w:shd w:val="clear" w:color="auto" w:fill="auto"/>
            <w:vAlign w:val="center"/>
          </w:tcPr>
          <w:p>
            <w:pPr>
              <w:spacing w:line="360" w:lineRule="auto"/>
              <w:jc w:val="center"/>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2</w:t>
            </w:r>
          </w:p>
        </w:tc>
        <w:tc>
          <w:tcPr>
            <w:tcW w:w="4045" w:type="dxa"/>
            <w:tcBorders>
              <w:top w:val="nil"/>
              <w:left w:val="nil"/>
              <w:bottom w:val="single" w:color="auto" w:sz="4" w:space="0"/>
              <w:right w:val="single" w:color="auto" w:sz="4" w:space="0"/>
            </w:tcBorders>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4-</w:t>
            </w:r>
            <w:r>
              <w:rPr>
                <w:rFonts w:hint="default" w:ascii="Times New Roman" w:hAnsi="Times New Roman" w:cs="Times New Roman"/>
                <w:color w:val="000000"/>
                <w:sz w:val="22"/>
                <w:szCs w:val="22"/>
              </w:rPr>
              <w:t>羟基苯甲酸甲酯</w:t>
            </w:r>
          </w:p>
        </w:tc>
        <w:tc>
          <w:tcPr>
            <w:tcW w:w="4110" w:type="dxa"/>
            <w:tcBorders>
              <w:top w:val="nil"/>
              <w:left w:val="nil"/>
              <w:bottom w:val="single" w:color="auto" w:sz="4" w:space="0"/>
              <w:right w:val="single" w:color="auto" w:sz="8" w:space="0"/>
            </w:tcBorders>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methylparaben</w:t>
            </w:r>
          </w:p>
        </w:tc>
      </w:tr>
      <w:tr>
        <w:tblPrEx>
          <w:tblCellMar>
            <w:top w:w="0" w:type="dxa"/>
            <w:left w:w="108" w:type="dxa"/>
            <w:bottom w:w="0" w:type="dxa"/>
            <w:right w:w="108" w:type="dxa"/>
          </w:tblCellMar>
        </w:tblPrEx>
        <w:trPr>
          <w:trHeight w:val="537" w:hRule="atLeast"/>
          <w:jc w:val="center"/>
        </w:trPr>
        <w:tc>
          <w:tcPr>
            <w:tcW w:w="907" w:type="dxa"/>
            <w:tcBorders>
              <w:top w:val="nil"/>
              <w:left w:val="single" w:color="auto" w:sz="8" w:space="0"/>
              <w:bottom w:val="single" w:color="auto" w:sz="4" w:space="0"/>
              <w:right w:val="single" w:color="auto" w:sz="4" w:space="0"/>
            </w:tcBorders>
            <w:shd w:val="clear" w:color="auto" w:fill="auto"/>
            <w:vAlign w:val="center"/>
          </w:tcPr>
          <w:p>
            <w:pPr>
              <w:spacing w:line="360" w:lineRule="auto"/>
              <w:jc w:val="center"/>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3</w:t>
            </w:r>
          </w:p>
        </w:tc>
        <w:tc>
          <w:tcPr>
            <w:tcW w:w="4045" w:type="dxa"/>
            <w:tcBorders>
              <w:top w:val="nil"/>
              <w:left w:val="nil"/>
              <w:bottom w:val="single" w:color="auto" w:sz="4" w:space="0"/>
              <w:right w:val="single" w:color="auto" w:sz="4" w:space="0"/>
            </w:tcBorders>
            <w:shd w:val="clear" w:color="auto" w:fill="auto"/>
            <w:vAlign w:val="center"/>
          </w:tcPr>
          <w:p>
            <w:pPr>
              <w:spacing w:line="36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尼泊金乙酯钾盐</w:t>
            </w:r>
          </w:p>
        </w:tc>
        <w:tc>
          <w:tcPr>
            <w:tcW w:w="4110" w:type="dxa"/>
            <w:tcBorders>
              <w:top w:val="nil"/>
              <w:left w:val="nil"/>
              <w:bottom w:val="single" w:color="auto" w:sz="4" w:space="0"/>
              <w:right w:val="single" w:color="auto" w:sz="8" w:space="0"/>
            </w:tcBorders>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potassium ethylparaben</w:t>
            </w:r>
          </w:p>
        </w:tc>
      </w:tr>
      <w:tr>
        <w:tblPrEx>
          <w:tblCellMar>
            <w:top w:w="0" w:type="dxa"/>
            <w:left w:w="108" w:type="dxa"/>
            <w:bottom w:w="0" w:type="dxa"/>
            <w:right w:w="108" w:type="dxa"/>
          </w:tblCellMar>
        </w:tblPrEx>
        <w:trPr>
          <w:trHeight w:val="537" w:hRule="atLeast"/>
          <w:jc w:val="center"/>
        </w:trPr>
        <w:tc>
          <w:tcPr>
            <w:tcW w:w="907" w:type="dxa"/>
            <w:tcBorders>
              <w:top w:val="nil"/>
              <w:left w:val="single" w:color="auto" w:sz="8" w:space="0"/>
              <w:bottom w:val="single" w:color="auto" w:sz="4" w:space="0"/>
              <w:right w:val="single" w:color="auto" w:sz="4" w:space="0"/>
            </w:tcBorders>
            <w:shd w:val="clear" w:color="auto" w:fill="auto"/>
            <w:vAlign w:val="center"/>
          </w:tcPr>
          <w:p>
            <w:pPr>
              <w:spacing w:line="360" w:lineRule="auto"/>
              <w:jc w:val="center"/>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4</w:t>
            </w:r>
          </w:p>
        </w:tc>
        <w:tc>
          <w:tcPr>
            <w:tcW w:w="4045" w:type="dxa"/>
            <w:tcBorders>
              <w:top w:val="nil"/>
              <w:left w:val="nil"/>
              <w:bottom w:val="single" w:color="auto" w:sz="4" w:space="0"/>
              <w:right w:val="single" w:color="auto" w:sz="4" w:space="0"/>
            </w:tcBorders>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4-</w:t>
            </w:r>
            <w:r>
              <w:rPr>
                <w:rFonts w:hint="default" w:ascii="Times New Roman" w:hAnsi="Times New Roman" w:cs="Times New Roman"/>
                <w:color w:val="000000"/>
                <w:sz w:val="22"/>
                <w:szCs w:val="22"/>
              </w:rPr>
              <w:t>羟基苯甲酸钾</w:t>
            </w:r>
          </w:p>
        </w:tc>
        <w:tc>
          <w:tcPr>
            <w:tcW w:w="4110" w:type="dxa"/>
            <w:tcBorders>
              <w:top w:val="nil"/>
              <w:left w:val="nil"/>
              <w:bottom w:val="single" w:color="auto" w:sz="4" w:space="0"/>
              <w:right w:val="single" w:color="auto" w:sz="8" w:space="0"/>
            </w:tcBorders>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potassium paraben</w:t>
            </w:r>
          </w:p>
        </w:tc>
      </w:tr>
      <w:tr>
        <w:tblPrEx>
          <w:tblCellMar>
            <w:top w:w="0" w:type="dxa"/>
            <w:left w:w="108" w:type="dxa"/>
            <w:bottom w:w="0" w:type="dxa"/>
            <w:right w:w="108" w:type="dxa"/>
          </w:tblCellMar>
        </w:tblPrEx>
        <w:trPr>
          <w:trHeight w:val="537" w:hRule="atLeast"/>
          <w:jc w:val="center"/>
        </w:trPr>
        <w:tc>
          <w:tcPr>
            <w:tcW w:w="907" w:type="dxa"/>
            <w:tcBorders>
              <w:top w:val="nil"/>
              <w:left w:val="single" w:color="auto" w:sz="8" w:space="0"/>
              <w:bottom w:val="single" w:color="auto" w:sz="4" w:space="0"/>
              <w:right w:val="single" w:color="auto" w:sz="4" w:space="0"/>
            </w:tcBorders>
            <w:shd w:val="clear" w:color="auto" w:fill="auto"/>
            <w:vAlign w:val="center"/>
          </w:tcPr>
          <w:p>
            <w:pPr>
              <w:spacing w:line="360" w:lineRule="auto"/>
              <w:jc w:val="center"/>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5</w:t>
            </w:r>
          </w:p>
        </w:tc>
        <w:tc>
          <w:tcPr>
            <w:tcW w:w="4045" w:type="dxa"/>
            <w:tcBorders>
              <w:top w:val="nil"/>
              <w:left w:val="nil"/>
              <w:bottom w:val="single" w:color="auto" w:sz="4" w:space="0"/>
              <w:right w:val="single" w:color="auto" w:sz="4" w:space="0"/>
            </w:tcBorders>
            <w:shd w:val="clear" w:color="auto" w:fill="auto"/>
            <w:vAlign w:val="center"/>
          </w:tcPr>
          <w:p>
            <w:pPr>
              <w:spacing w:line="36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尼泊金甲酯钠</w:t>
            </w:r>
          </w:p>
        </w:tc>
        <w:tc>
          <w:tcPr>
            <w:tcW w:w="4110" w:type="dxa"/>
            <w:tcBorders>
              <w:top w:val="nil"/>
              <w:left w:val="nil"/>
              <w:bottom w:val="single" w:color="auto" w:sz="4" w:space="0"/>
              <w:right w:val="single" w:color="auto" w:sz="8" w:space="0"/>
            </w:tcBorders>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sodium methylparaben</w:t>
            </w:r>
          </w:p>
        </w:tc>
      </w:tr>
      <w:tr>
        <w:tblPrEx>
          <w:tblCellMar>
            <w:top w:w="0" w:type="dxa"/>
            <w:left w:w="108" w:type="dxa"/>
            <w:bottom w:w="0" w:type="dxa"/>
            <w:right w:w="108" w:type="dxa"/>
          </w:tblCellMar>
        </w:tblPrEx>
        <w:trPr>
          <w:trHeight w:val="537" w:hRule="atLeast"/>
          <w:jc w:val="center"/>
        </w:trPr>
        <w:tc>
          <w:tcPr>
            <w:tcW w:w="907" w:type="dxa"/>
            <w:tcBorders>
              <w:top w:val="nil"/>
              <w:left w:val="single" w:color="auto" w:sz="8" w:space="0"/>
              <w:bottom w:val="single" w:color="auto" w:sz="4" w:space="0"/>
              <w:right w:val="single" w:color="auto" w:sz="4" w:space="0"/>
            </w:tcBorders>
            <w:shd w:val="clear" w:color="auto" w:fill="auto"/>
            <w:vAlign w:val="center"/>
          </w:tcPr>
          <w:p>
            <w:pPr>
              <w:spacing w:line="360" w:lineRule="auto"/>
              <w:jc w:val="center"/>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6</w:t>
            </w:r>
          </w:p>
        </w:tc>
        <w:tc>
          <w:tcPr>
            <w:tcW w:w="4045" w:type="dxa"/>
            <w:tcBorders>
              <w:top w:val="nil"/>
              <w:left w:val="nil"/>
              <w:bottom w:val="single" w:color="auto" w:sz="4" w:space="0"/>
              <w:right w:val="single" w:color="auto" w:sz="4" w:space="0"/>
            </w:tcBorders>
            <w:shd w:val="clear" w:color="auto" w:fill="auto"/>
            <w:vAlign w:val="center"/>
          </w:tcPr>
          <w:p>
            <w:pPr>
              <w:spacing w:line="36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尼泊金乙酯钠</w:t>
            </w:r>
          </w:p>
        </w:tc>
        <w:tc>
          <w:tcPr>
            <w:tcW w:w="4110" w:type="dxa"/>
            <w:tcBorders>
              <w:top w:val="nil"/>
              <w:left w:val="nil"/>
              <w:bottom w:val="single" w:color="auto" w:sz="4" w:space="0"/>
              <w:right w:val="single" w:color="auto" w:sz="8" w:space="0"/>
            </w:tcBorders>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sodium ethylparaben</w:t>
            </w:r>
          </w:p>
        </w:tc>
      </w:tr>
      <w:tr>
        <w:tblPrEx>
          <w:tblCellMar>
            <w:top w:w="0" w:type="dxa"/>
            <w:left w:w="108" w:type="dxa"/>
            <w:bottom w:w="0" w:type="dxa"/>
            <w:right w:w="108" w:type="dxa"/>
          </w:tblCellMar>
        </w:tblPrEx>
        <w:trPr>
          <w:trHeight w:val="537" w:hRule="atLeast"/>
          <w:jc w:val="center"/>
        </w:trPr>
        <w:tc>
          <w:tcPr>
            <w:tcW w:w="907" w:type="dxa"/>
            <w:tcBorders>
              <w:top w:val="nil"/>
              <w:left w:val="single" w:color="auto" w:sz="8" w:space="0"/>
              <w:bottom w:val="single" w:color="auto" w:sz="4" w:space="0"/>
              <w:right w:val="single" w:color="auto" w:sz="4" w:space="0"/>
            </w:tcBorders>
            <w:shd w:val="clear" w:color="auto" w:fill="auto"/>
            <w:vAlign w:val="center"/>
          </w:tcPr>
          <w:p>
            <w:pPr>
              <w:spacing w:line="360" w:lineRule="auto"/>
              <w:jc w:val="center"/>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7</w:t>
            </w:r>
          </w:p>
        </w:tc>
        <w:tc>
          <w:tcPr>
            <w:tcW w:w="4045" w:type="dxa"/>
            <w:tcBorders>
              <w:top w:val="nil"/>
              <w:left w:val="nil"/>
              <w:bottom w:val="single" w:color="auto" w:sz="4" w:space="0"/>
              <w:right w:val="single" w:color="auto" w:sz="4" w:space="0"/>
            </w:tcBorders>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4-</w:t>
            </w:r>
            <w:r>
              <w:rPr>
                <w:rFonts w:hint="default" w:ascii="Times New Roman" w:hAnsi="Times New Roman" w:cs="Times New Roman"/>
                <w:color w:val="000000"/>
                <w:sz w:val="22"/>
                <w:szCs w:val="22"/>
              </w:rPr>
              <w:t>羟基苯甲酸乙酯</w:t>
            </w:r>
          </w:p>
        </w:tc>
        <w:tc>
          <w:tcPr>
            <w:tcW w:w="4110" w:type="dxa"/>
            <w:tcBorders>
              <w:top w:val="nil"/>
              <w:left w:val="nil"/>
              <w:bottom w:val="single" w:color="auto" w:sz="4" w:space="0"/>
              <w:right w:val="single" w:color="auto" w:sz="8" w:space="0"/>
            </w:tcBorders>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ethylparaben</w:t>
            </w:r>
          </w:p>
        </w:tc>
      </w:tr>
      <w:tr>
        <w:tblPrEx>
          <w:tblCellMar>
            <w:top w:w="0" w:type="dxa"/>
            <w:left w:w="108" w:type="dxa"/>
            <w:bottom w:w="0" w:type="dxa"/>
            <w:right w:w="108" w:type="dxa"/>
          </w:tblCellMar>
        </w:tblPrEx>
        <w:trPr>
          <w:trHeight w:val="537" w:hRule="atLeast"/>
          <w:jc w:val="center"/>
        </w:trPr>
        <w:tc>
          <w:tcPr>
            <w:tcW w:w="907" w:type="dxa"/>
            <w:tcBorders>
              <w:top w:val="nil"/>
              <w:left w:val="single" w:color="auto" w:sz="8" w:space="0"/>
              <w:bottom w:val="single" w:color="auto" w:sz="4" w:space="0"/>
              <w:right w:val="single" w:color="auto" w:sz="4" w:space="0"/>
            </w:tcBorders>
            <w:shd w:val="clear" w:color="auto" w:fill="auto"/>
            <w:vAlign w:val="center"/>
          </w:tcPr>
          <w:p>
            <w:pPr>
              <w:spacing w:line="360" w:lineRule="auto"/>
              <w:jc w:val="center"/>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8</w:t>
            </w:r>
          </w:p>
        </w:tc>
        <w:tc>
          <w:tcPr>
            <w:tcW w:w="4045" w:type="dxa"/>
            <w:tcBorders>
              <w:top w:val="nil"/>
              <w:left w:val="nil"/>
              <w:bottom w:val="single" w:color="auto" w:sz="4" w:space="0"/>
              <w:right w:val="single" w:color="auto" w:sz="4" w:space="0"/>
            </w:tcBorders>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4-</w:t>
            </w:r>
            <w:r>
              <w:rPr>
                <w:rFonts w:hint="default" w:ascii="Times New Roman" w:hAnsi="Times New Roman" w:cs="Times New Roman"/>
                <w:color w:val="000000"/>
                <w:sz w:val="22"/>
                <w:szCs w:val="22"/>
              </w:rPr>
              <w:t>羟基苯甲酸钠</w:t>
            </w:r>
          </w:p>
        </w:tc>
        <w:tc>
          <w:tcPr>
            <w:tcW w:w="4110" w:type="dxa"/>
            <w:tcBorders>
              <w:top w:val="nil"/>
              <w:left w:val="nil"/>
              <w:bottom w:val="single" w:color="auto" w:sz="4" w:space="0"/>
              <w:right w:val="single" w:color="auto" w:sz="8" w:space="0"/>
            </w:tcBorders>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sodium paraben</w:t>
            </w:r>
          </w:p>
        </w:tc>
      </w:tr>
      <w:tr>
        <w:tblPrEx>
          <w:tblCellMar>
            <w:top w:w="0" w:type="dxa"/>
            <w:left w:w="108" w:type="dxa"/>
            <w:bottom w:w="0" w:type="dxa"/>
            <w:right w:w="108" w:type="dxa"/>
          </w:tblCellMar>
        </w:tblPrEx>
        <w:trPr>
          <w:trHeight w:val="537" w:hRule="atLeast"/>
          <w:jc w:val="center"/>
        </w:trPr>
        <w:tc>
          <w:tcPr>
            <w:tcW w:w="907" w:type="dxa"/>
            <w:tcBorders>
              <w:top w:val="nil"/>
              <w:left w:val="single" w:color="auto" w:sz="8" w:space="0"/>
              <w:bottom w:val="single" w:color="auto" w:sz="4" w:space="0"/>
              <w:right w:val="single" w:color="auto" w:sz="4" w:space="0"/>
            </w:tcBorders>
            <w:shd w:val="clear" w:color="auto" w:fill="auto"/>
            <w:vAlign w:val="center"/>
          </w:tcPr>
          <w:p>
            <w:pPr>
              <w:spacing w:line="360" w:lineRule="auto"/>
              <w:jc w:val="center"/>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9</w:t>
            </w:r>
          </w:p>
        </w:tc>
        <w:tc>
          <w:tcPr>
            <w:tcW w:w="4045" w:type="dxa"/>
            <w:tcBorders>
              <w:top w:val="nil"/>
              <w:left w:val="nil"/>
              <w:bottom w:val="single" w:color="auto" w:sz="4" w:space="0"/>
              <w:right w:val="single" w:color="auto" w:sz="4" w:space="0"/>
            </w:tcBorders>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4-</w:t>
            </w:r>
            <w:r>
              <w:rPr>
                <w:rFonts w:hint="default" w:ascii="Times New Roman" w:hAnsi="Times New Roman" w:cs="Times New Roman"/>
                <w:color w:val="000000"/>
                <w:sz w:val="22"/>
                <w:szCs w:val="22"/>
              </w:rPr>
              <w:t>羟基苯甲酸甲酯钾</w:t>
            </w:r>
          </w:p>
        </w:tc>
        <w:tc>
          <w:tcPr>
            <w:tcW w:w="4110" w:type="dxa"/>
            <w:tcBorders>
              <w:top w:val="nil"/>
              <w:left w:val="nil"/>
              <w:bottom w:val="single" w:color="auto" w:sz="4" w:space="0"/>
              <w:right w:val="single" w:color="auto" w:sz="8" w:space="0"/>
            </w:tcBorders>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potassium methylparaben</w:t>
            </w:r>
          </w:p>
        </w:tc>
      </w:tr>
      <w:tr>
        <w:tblPrEx>
          <w:tblCellMar>
            <w:top w:w="0" w:type="dxa"/>
            <w:left w:w="108" w:type="dxa"/>
            <w:bottom w:w="0" w:type="dxa"/>
            <w:right w:w="108" w:type="dxa"/>
          </w:tblCellMar>
        </w:tblPrEx>
        <w:trPr>
          <w:trHeight w:val="537" w:hRule="atLeast"/>
          <w:jc w:val="center"/>
        </w:trPr>
        <w:tc>
          <w:tcPr>
            <w:tcW w:w="907" w:type="dxa"/>
            <w:tcBorders>
              <w:top w:val="nil"/>
              <w:left w:val="single" w:color="auto" w:sz="8" w:space="0"/>
              <w:bottom w:val="single" w:color="auto" w:sz="4" w:space="0"/>
              <w:right w:val="single" w:color="auto" w:sz="4" w:space="0"/>
            </w:tcBorders>
            <w:shd w:val="clear" w:color="auto" w:fill="auto"/>
            <w:vAlign w:val="center"/>
          </w:tcPr>
          <w:p>
            <w:pPr>
              <w:spacing w:line="360" w:lineRule="auto"/>
              <w:jc w:val="center"/>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10</w:t>
            </w:r>
          </w:p>
        </w:tc>
        <w:tc>
          <w:tcPr>
            <w:tcW w:w="4045" w:type="dxa"/>
            <w:tcBorders>
              <w:top w:val="nil"/>
              <w:left w:val="nil"/>
              <w:bottom w:val="single" w:color="auto" w:sz="4" w:space="0"/>
              <w:right w:val="single" w:color="auto" w:sz="4" w:space="0"/>
            </w:tcBorders>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4-</w:t>
            </w:r>
            <w:r>
              <w:rPr>
                <w:rFonts w:hint="default" w:ascii="Times New Roman" w:hAnsi="Times New Roman" w:cs="Times New Roman"/>
                <w:color w:val="000000"/>
                <w:sz w:val="22"/>
                <w:szCs w:val="22"/>
              </w:rPr>
              <w:t>羟基苯甲酸钙</w:t>
            </w:r>
          </w:p>
        </w:tc>
        <w:tc>
          <w:tcPr>
            <w:tcW w:w="4110" w:type="dxa"/>
            <w:tcBorders>
              <w:top w:val="nil"/>
              <w:left w:val="nil"/>
              <w:bottom w:val="single" w:color="auto" w:sz="4" w:space="0"/>
              <w:right w:val="single" w:color="auto" w:sz="8" w:space="0"/>
            </w:tcBorders>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calcium paraben</w:t>
            </w:r>
          </w:p>
        </w:tc>
      </w:tr>
      <w:tr>
        <w:tblPrEx>
          <w:tblCellMar>
            <w:top w:w="0" w:type="dxa"/>
            <w:left w:w="108" w:type="dxa"/>
            <w:bottom w:w="0" w:type="dxa"/>
            <w:right w:w="108" w:type="dxa"/>
          </w:tblCellMar>
        </w:tblPrEx>
        <w:trPr>
          <w:trHeight w:val="537" w:hRule="atLeast"/>
          <w:jc w:val="center"/>
        </w:trPr>
        <w:tc>
          <w:tcPr>
            <w:tcW w:w="907" w:type="dxa"/>
            <w:tcBorders>
              <w:top w:val="nil"/>
              <w:left w:val="single" w:color="auto" w:sz="8" w:space="0"/>
              <w:bottom w:val="single" w:color="auto" w:sz="4" w:space="0"/>
              <w:right w:val="single" w:color="auto" w:sz="4" w:space="0"/>
            </w:tcBorders>
            <w:shd w:val="clear" w:color="auto" w:fill="auto"/>
            <w:vAlign w:val="center"/>
          </w:tcPr>
          <w:p>
            <w:pPr>
              <w:spacing w:line="360" w:lineRule="auto"/>
              <w:jc w:val="center"/>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11</w:t>
            </w:r>
          </w:p>
        </w:tc>
        <w:tc>
          <w:tcPr>
            <w:tcW w:w="4045" w:type="dxa"/>
            <w:tcBorders>
              <w:top w:val="nil"/>
              <w:left w:val="nil"/>
              <w:bottom w:val="single" w:color="auto" w:sz="4" w:space="0"/>
              <w:right w:val="single" w:color="auto" w:sz="4" w:space="0"/>
            </w:tcBorders>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4-</w:t>
            </w:r>
            <w:r>
              <w:rPr>
                <w:rFonts w:hint="default" w:ascii="Times New Roman" w:hAnsi="Times New Roman" w:cs="Times New Roman"/>
                <w:color w:val="000000"/>
                <w:sz w:val="22"/>
                <w:szCs w:val="22"/>
              </w:rPr>
              <w:t>羟基苯甲酸丁酯</w:t>
            </w:r>
          </w:p>
        </w:tc>
        <w:tc>
          <w:tcPr>
            <w:tcW w:w="4110" w:type="dxa"/>
            <w:tcBorders>
              <w:top w:val="nil"/>
              <w:left w:val="nil"/>
              <w:bottom w:val="single" w:color="auto" w:sz="4" w:space="0"/>
              <w:right w:val="single" w:color="auto" w:sz="8" w:space="0"/>
            </w:tcBorders>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 xml:space="preserve">Butylparaben    </w:t>
            </w:r>
          </w:p>
        </w:tc>
      </w:tr>
      <w:tr>
        <w:tblPrEx>
          <w:tblCellMar>
            <w:top w:w="0" w:type="dxa"/>
            <w:left w:w="108" w:type="dxa"/>
            <w:bottom w:w="0" w:type="dxa"/>
            <w:right w:w="108" w:type="dxa"/>
          </w:tblCellMar>
        </w:tblPrEx>
        <w:trPr>
          <w:trHeight w:val="537" w:hRule="atLeast"/>
          <w:jc w:val="center"/>
        </w:trPr>
        <w:tc>
          <w:tcPr>
            <w:tcW w:w="907" w:type="dxa"/>
            <w:tcBorders>
              <w:top w:val="nil"/>
              <w:left w:val="single" w:color="auto" w:sz="8" w:space="0"/>
              <w:bottom w:val="single" w:color="auto" w:sz="4" w:space="0"/>
              <w:right w:val="single" w:color="auto" w:sz="4" w:space="0"/>
            </w:tcBorders>
            <w:shd w:val="clear" w:color="auto" w:fill="auto"/>
            <w:vAlign w:val="center"/>
          </w:tcPr>
          <w:p>
            <w:pPr>
              <w:spacing w:line="360" w:lineRule="auto"/>
              <w:jc w:val="center"/>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12</w:t>
            </w:r>
          </w:p>
        </w:tc>
        <w:tc>
          <w:tcPr>
            <w:tcW w:w="4045" w:type="dxa"/>
            <w:tcBorders>
              <w:top w:val="nil"/>
              <w:left w:val="nil"/>
              <w:bottom w:val="single" w:color="auto" w:sz="4" w:space="0"/>
              <w:right w:val="single" w:color="auto" w:sz="4" w:space="0"/>
            </w:tcBorders>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4-</w:t>
            </w:r>
            <w:r>
              <w:rPr>
                <w:rFonts w:hint="default" w:ascii="Times New Roman" w:hAnsi="Times New Roman" w:cs="Times New Roman"/>
                <w:color w:val="000000"/>
                <w:sz w:val="22"/>
                <w:szCs w:val="22"/>
              </w:rPr>
              <w:t>羟基苯甲酸丙酯</w:t>
            </w:r>
          </w:p>
        </w:tc>
        <w:tc>
          <w:tcPr>
            <w:tcW w:w="4110" w:type="dxa"/>
            <w:tcBorders>
              <w:top w:val="nil"/>
              <w:left w:val="nil"/>
              <w:bottom w:val="single" w:color="auto" w:sz="4" w:space="0"/>
              <w:right w:val="single" w:color="auto" w:sz="8" w:space="0"/>
            </w:tcBorders>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 xml:space="preserve">propylparaben </w:t>
            </w:r>
          </w:p>
        </w:tc>
      </w:tr>
      <w:tr>
        <w:tblPrEx>
          <w:tblCellMar>
            <w:top w:w="0" w:type="dxa"/>
            <w:left w:w="108" w:type="dxa"/>
            <w:bottom w:w="0" w:type="dxa"/>
            <w:right w:w="108" w:type="dxa"/>
          </w:tblCellMar>
        </w:tblPrEx>
        <w:trPr>
          <w:trHeight w:val="537" w:hRule="atLeast"/>
          <w:jc w:val="center"/>
        </w:trPr>
        <w:tc>
          <w:tcPr>
            <w:tcW w:w="907" w:type="dxa"/>
            <w:tcBorders>
              <w:top w:val="nil"/>
              <w:left w:val="single" w:color="auto" w:sz="8" w:space="0"/>
              <w:bottom w:val="single" w:color="auto" w:sz="4" w:space="0"/>
              <w:right w:val="single" w:color="auto" w:sz="4" w:space="0"/>
            </w:tcBorders>
            <w:shd w:val="clear" w:color="auto" w:fill="auto"/>
            <w:vAlign w:val="center"/>
          </w:tcPr>
          <w:p>
            <w:pPr>
              <w:spacing w:line="360" w:lineRule="auto"/>
              <w:jc w:val="center"/>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13</w:t>
            </w:r>
          </w:p>
        </w:tc>
        <w:tc>
          <w:tcPr>
            <w:tcW w:w="4045" w:type="dxa"/>
            <w:tcBorders>
              <w:top w:val="nil"/>
              <w:left w:val="nil"/>
              <w:bottom w:val="single" w:color="auto" w:sz="4" w:space="0"/>
              <w:right w:val="single" w:color="auto" w:sz="4" w:space="0"/>
            </w:tcBorders>
            <w:shd w:val="clear" w:color="auto" w:fill="auto"/>
            <w:vAlign w:val="center"/>
          </w:tcPr>
          <w:p>
            <w:pPr>
              <w:spacing w:line="36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尼泊金丙酯钠</w:t>
            </w:r>
          </w:p>
        </w:tc>
        <w:tc>
          <w:tcPr>
            <w:tcW w:w="4110" w:type="dxa"/>
            <w:tcBorders>
              <w:top w:val="nil"/>
              <w:left w:val="nil"/>
              <w:bottom w:val="single" w:color="auto" w:sz="4" w:space="0"/>
              <w:right w:val="single" w:color="auto" w:sz="8" w:space="0"/>
            </w:tcBorders>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sodium propylparaben</w:t>
            </w:r>
          </w:p>
        </w:tc>
      </w:tr>
      <w:tr>
        <w:tblPrEx>
          <w:tblCellMar>
            <w:top w:w="0" w:type="dxa"/>
            <w:left w:w="108" w:type="dxa"/>
            <w:bottom w:w="0" w:type="dxa"/>
            <w:right w:w="108" w:type="dxa"/>
          </w:tblCellMar>
        </w:tblPrEx>
        <w:trPr>
          <w:trHeight w:val="537" w:hRule="atLeast"/>
          <w:jc w:val="center"/>
        </w:trPr>
        <w:tc>
          <w:tcPr>
            <w:tcW w:w="907" w:type="dxa"/>
            <w:tcBorders>
              <w:top w:val="nil"/>
              <w:left w:val="single" w:color="auto" w:sz="8" w:space="0"/>
              <w:bottom w:val="single" w:color="auto" w:sz="4" w:space="0"/>
              <w:right w:val="single" w:color="auto" w:sz="4" w:space="0"/>
            </w:tcBorders>
            <w:shd w:val="clear" w:color="auto" w:fill="auto"/>
            <w:vAlign w:val="center"/>
          </w:tcPr>
          <w:p>
            <w:pPr>
              <w:spacing w:line="360" w:lineRule="auto"/>
              <w:jc w:val="center"/>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14</w:t>
            </w:r>
          </w:p>
        </w:tc>
        <w:tc>
          <w:tcPr>
            <w:tcW w:w="4045" w:type="dxa"/>
            <w:tcBorders>
              <w:top w:val="nil"/>
              <w:left w:val="nil"/>
              <w:bottom w:val="single" w:color="auto" w:sz="4" w:space="0"/>
              <w:right w:val="single" w:color="auto" w:sz="4" w:space="0"/>
            </w:tcBorders>
            <w:shd w:val="clear" w:color="auto" w:fill="auto"/>
            <w:vAlign w:val="center"/>
          </w:tcPr>
          <w:p>
            <w:pPr>
              <w:spacing w:line="360" w:lineRule="auto"/>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尼泊金丁酯钠</w:t>
            </w:r>
          </w:p>
        </w:tc>
        <w:tc>
          <w:tcPr>
            <w:tcW w:w="4110" w:type="dxa"/>
            <w:tcBorders>
              <w:top w:val="nil"/>
              <w:left w:val="nil"/>
              <w:bottom w:val="single" w:color="auto" w:sz="4" w:space="0"/>
              <w:right w:val="single" w:color="auto" w:sz="8" w:space="0"/>
            </w:tcBorders>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sodium butylparaben</w:t>
            </w:r>
          </w:p>
        </w:tc>
      </w:tr>
      <w:tr>
        <w:tblPrEx>
          <w:tblCellMar>
            <w:top w:w="0" w:type="dxa"/>
            <w:left w:w="108" w:type="dxa"/>
            <w:bottom w:w="0" w:type="dxa"/>
            <w:right w:w="108" w:type="dxa"/>
          </w:tblCellMar>
        </w:tblPrEx>
        <w:trPr>
          <w:trHeight w:val="537" w:hRule="atLeast"/>
          <w:jc w:val="center"/>
        </w:trPr>
        <w:tc>
          <w:tcPr>
            <w:tcW w:w="907" w:type="dxa"/>
            <w:tcBorders>
              <w:top w:val="nil"/>
              <w:left w:val="single" w:color="auto" w:sz="8" w:space="0"/>
              <w:bottom w:val="single" w:color="auto" w:sz="4" w:space="0"/>
              <w:right w:val="single" w:color="auto" w:sz="4" w:space="0"/>
            </w:tcBorders>
            <w:shd w:val="clear" w:color="auto" w:fill="auto"/>
            <w:vAlign w:val="center"/>
          </w:tcPr>
          <w:p>
            <w:pPr>
              <w:spacing w:line="360" w:lineRule="auto"/>
              <w:jc w:val="center"/>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15</w:t>
            </w:r>
          </w:p>
        </w:tc>
        <w:tc>
          <w:tcPr>
            <w:tcW w:w="4045" w:type="dxa"/>
            <w:tcBorders>
              <w:top w:val="nil"/>
              <w:left w:val="nil"/>
              <w:bottom w:val="single" w:color="auto" w:sz="4" w:space="0"/>
              <w:right w:val="single" w:color="auto" w:sz="4" w:space="0"/>
            </w:tcBorders>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4-</w:t>
            </w:r>
            <w:r>
              <w:rPr>
                <w:rFonts w:hint="default" w:ascii="Times New Roman" w:hAnsi="Times New Roman" w:cs="Times New Roman"/>
                <w:color w:val="000000"/>
                <w:sz w:val="22"/>
                <w:szCs w:val="22"/>
              </w:rPr>
              <w:t>羟基苯甲酸丁酯钾</w:t>
            </w:r>
          </w:p>
        </w:tc>
        <w:tc>
          <w:tcPr>
            <w:tcW w:w="4110" w:type="dxa"/>
            <w:tcBorders>
              <w:top w:val="nil"/>
              <w:left w:val="nil"/>
              <w:bottom w:val="single" w:color="auto" w:sz="4" w:space="0"/>
              <w:right w:val="single" w:color="auto" w:sz="8" w:space="0"/>
            </w:tcBorders>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potassium butylparaben</w:t>
            </w:r>
          </w:p>
        </w:tc>
      </w:tr>
      <w:tr>
        <w:tblPrEx>
          <w:tblCellMar>
            <w:top w:w="0" w:type="dxa"/>
            <w:left w:w="108" w:type="dxa"/>
            <w:bottom w:w="0" w:type="dxa"/>
            <w:right w:w="108" w:type="dxa"/>
          </w:tblCellMar>
        </w:tblPrEx>
        <w:trPr>
          <w:trHeight w:val="565" w:hRule="atLeast"/>
          <w:jc w:val="center"/>
        </w:trPr>
        <w:tc>
          <w:tcPr>
            <w:tcW w:w="907" w:type="dxa"/>
            <w:tcBorders>
              <w:top w:val="nil"/>
              <w:left w:val="single" w:color="auto" w:sz="8" w:space="0"/>
              <w:bottom w:val="single" w:color="auto" w:sz="8" w:space="0"/>
              <w:right w:val="single" w:color="auto" w:sz="4" w:space="0"/>
            </w:tcBorders>
            <w:shd w:val="clear" w:color="auto" w:fill="auto"/>
            <w:vAlign w:val="center"/>
          </w:tcPr>
          <w:p>
            <w:pPr>
              <w:spacing w:line="360" w:lineRule="auto"/>
              <w:jc w:val="center"/>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16</w:t>
            </w:r>
          </w:p>
        </w:tc>
        <w:tc>
          <w:tcPr>
            <w:tcW w:w="4045" w:type="dxa"/>
            <w:tcBorders>
              <w:top w:val="nil"/>
              <w:left w:val="nil"/>
              <w:bottom w:val="single" w:color="auto" w:sz="8" w:space="0"/>
              <w:right w:val="single" w:color="auto" w:sz="4" w:space="0"/>
            </w:tcBorders>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4-</w:t>
            </w:r>
            <w:r>
              <w:rPr>
                <w:rFonts w:hint="default" w:ascii="Times New Roman" w:hAnsi="Times New Roman" w:cs="Times New Roman"/>
                <w:color w:val="000000"/>
                <w:sz w:val="22"/>
                <w:szCs w:val="22"/>
              </w:rPr>
              <w:t>羟基苯甲酸丙酯钾</w:t>
            </w:r>
          </w:p>
        </w:tc>
        <w:tc>
          <w:tcPr>
            <w:tcW w:w="4110" w:type="dxa"/>
            <w:tcBorders>
              <w:top w:val="nil"/>
              <w:left w:val="nil"/>
              <w:bottom w:val="single" w:color="auto" w:sz="8" w:space="0"/>
              <w:right w:val="single" w:color="auto" w:sz="8" w:space="0"/>
            </w:tcBorders>
            <w:shd w:val="clear" w:color="auto" w:fill="auto"/>
            <w:vAlign w:val="center"/>
          </w:tcPr>
          <w:p>
            <w:pPr>
              <w:spacing w:line="360" w:lineRule="auto"/>
              <w:rPr>
                <w:rFonts w:hint="default" w:ascii="Times New Roman" w:hAnsi="Times New Roman" w:eastAsia="等线" w:cs="Times New Roman"/>
                <w:color w:val="000000"/>
                <w:sz w:val="22"/>
                <w:szCs w:val="22"/>
              </w:rPr>
            </w:pPr>
            <w:r>
              <w:rPr>
                <w:rFonts w:hint="default" w:ascii="Times New Roman" w:hAnsi="Times New Roman" w:eastAsia="等线" w:cs="Times New Roman"/>
                <w:color w:val="000000"/>
                <w:sz w:val="22"/>
                <w:szCs w:val="22"/>
              </w:rPr>
              <w:t>potassium propylparaben</w:t>
            </w:r>
          </w:p>
        </w:tc>
      </w:tr>
    </w:tbl>
    <w:p>
      <w:pPr>
        <w:pStyle w:val="5"/>
        <w:shd w:val="clear" w:color="auto" w:fill="FFFFFF"/>
        <w:spacing w:before="0" w:beforeAutospacing="0" w:after="0" w:afterAutospacing="0" w:line="360" w:lineRule="auto"/>
        <w:ind w:left="420"/>
        <w:rPr>
          <w:rFonts w:hint="default" w:ascii="Times New Roman" w:hAnsi="Times New Roman" w:cs="Times New Roman"/>
        </w:rPr>
      </w:pPr>
    </w:p>
    <w:p>
      <w:pPr>
        <w:pStyle w:val="5"/>
        <w:shd w:val="clear" w:color="auto" w:fill="FFFFFF"/>
        <w:spacing w:before="0" w:beforeAutospacing="0" w:after="0" w:afterAutospacing="0" w:line="360" w:lineRule="auto"/>
        <w:ind w:firstLine="480" w:firstLineChars="200"/>
        <w:rPr>
          <w:rFonts w:hint="default" w:ascii="Times New Roman" w:hAnsi="Times New Roman" w:cs="Times New Roman"/>
        </w:rPr>
      </w:pPr>
      <w:r>
        <w:rPr>
          <w:rFonts w:hint="default" w:ascii="Times New Roman" w:hAnsi="Times New Roman" w:cs="Times New Roman"/>
        </w:rPr>
        <w:t>综合国内和欧盟对</w:t>
      </w:r>
      <w:r>
        <w:rPr>
          <w:rFonts w:hint="default" w:ascii="Times New Roman" w:hAnsi="Times New Roman" w:cs="Times New Roman"/>
          <w:lang w:eastAsia="zh-CN"/>
        </w:rPr>
        <w:t>4-羟基苯甲酸及其盐类和酯类</w:t>
      </w:r>
      <w:r>
        <w:rPr>
          <w:rFonts w:hint="default" w:ascii="Times New Roman" w:hAnsi="Times New Roman" w:cs="Times New Roman"/>
        </w:rPr>
        <w:t>的禁用和限用要求，需建立针对</w:t>
      </w:r>
      <w:r>
        <w:rPr>
          <w:rFonts w:hint="default" w:ascii="Times New Roman" w:hAnsi="Times New Roman" w:cs="Times New Roman"/>
          <w:szCs w:val="22"/>
        </w:rPr>
        <w:t>化妆品中22种4-羟基苯甲酸及其酯和盐类防腐剂进行检测。但</w:t>
      </w:r>
      <w:r>
        <w:rPr>
          <w:rFonts w:hint="default" w:ascii="Times New Roman" w:hAnsi="Times New Roman" w:cs="Times New Roman"/>
        </w:rPr>
        <w:t>现有的标准检测方法涉及此类物质较少，这对检验化妆品中羟苯酯类防腐剂的合规性带来一定的困扰。因此，建立一个针对化妆品中羟苯酯类防腐剂的快捷的检测方法，并使其目标化合物涵盖《化妆品安全技术规范》（2015年版）及欧盟标准中的22种物质，是必要且有意义的。这将有助于完善化妆品中羟苯酯类防腐剂的检测标准，同时也对化妆品防腐剂合规性的判定提供支持。</w:t>
      </w:r>
    </w:p>
    <w:p>
      <w:pPr>
        <w:pStyle w:val="5"/>
        <w:shd w:val="clear" w:color="auto" w:fill="FFFFFF"/>
        <w:spacing w:before="0" w:beforeAutospacing="0" w:after="0" w:afterAutospacing="0" w:line="360" w:lineRule="auto"/>
        <w:ind w:firstLine="480" w:firstLineChars="200"/>
        <w:rPr>
          <w:rFonts w:hint="default" w:ascii="Times New Roman" w:hAnsi="Times New Roman" w:cs="Times New Roman"/>
        </w:rPr>
      </w:pPr>
      <w:r>
        <w:rPr>
          <w:rFonts w:hint="default" w:ascii="Times New Roman" w:hAnsi="Times New Roman" w:cs="Times New Roman"/>
        </w:rPr>
        <w:t>《化妆品安全技术规范》（2015年版）4.7中对6种4-羟基苯甲酸及其盐和酯类的测试原理是样品经甲醇提取，用高效液相色谱仪分析，根据保留时间和紫外光谱图定性，峰面积定量，以标准曲线法计算含量。</w:t>
      </w:r>
    </w:p>
    <w:p>
      <w:pPr>
        <w:pStyle w:val="5"/>
        <w:shd w:val="clear" w:color="auto" w:fill="FFFFFF"/>
        <w:spacing w:before="0" w:beforeAutospacing="0" w:after="0" w:afterAutospacing="0" w:line="360" w:lineRule="auto"/>
        <w:ind w:firstLine="480" w:firstLineChars="200"/>
        <w:rPr>
          <w:rFonts w:hint="default" w:ascii="Times New Roman" w:hAnsi="Times New Roman" w:cs="Times New Roman"/>
        </w:rPr>
      </w:pPr>
      <w:r>
        <w:rPr>
          <w:rFonts w:hint="default" w:ascii="Times New Roman" w:hAnsi="Times New Roman" w:cs="Times New Roman"/>
        </w:rPr>
        <w:t>欧盟委员会指令95/32/EC给出了化妆品中苯甲酸、对-羟基苯甲酸、山梨酸、水杨酸和丙酸的测定方法。原理是试样酸化后，用乙醇和水的混合物提取，过滤，用高效液相色谱法测定各防腐剂的含量。</w:t>
      </w:r>
    </w:p>
    <w:p>
      <w:pPr>
        <w:pStyle w:val="5"/>
        <w:shd w:val="clear" w:color="auto" w:fill="FFFFFF"/>
        <w:spacing w:before="0" w:beforeAutospacing="0" w:after="0" w:afterAutospacing="0" w:line="360" w:lineRule="auto"/>
        <w:ind w:firstLine="480" w:firstLineChars="200"/>
        <w:rPr>
          <w:rFonts w:hint="default" w:ascii="Times New Roman" w:hAnsi="Times New Roman" w:cs="Times New Roman"/>
        </w:rPr>
      </w:pPr>
      <w:r>
        <w:rPr>
          <w:rFonts w:hint="default" w:ascii="Times New Roman" w:hAnsi="Times New Roman" w:cs="Times New Roman"/>
        </w:rPr>
        <w:t>综合以上两个相关方法的前处理过程，拟定前处理方案：用酸化的甲醇超声提取样品的前处理方法；并对含蜡样品先用四氢呋喃分散样品，再用酸化的甲醇超声提取。</w:t>
      </w:r>
    </w:p>
    <w:p>
      <w:pPr>
        <w:pStyle w:val="5"/>
        <w:shd w:val="clear" w:color="auto" w:fill="FFFFFF"/>
        <w:spacing w:before="0" w:beforeAutospacing="0" w:after="0" w:afterAutospacing="0" w:line="360" w:lineRule="auto"/>
        <w:ind w:firstLine="480" w:firstLineChars="200"/>
        <w:rPr>
          <w:rFonts w:hint="default" w:ascii="Times New Roman" w:hAnsi="Times New Roman" w:cs="Times New Roman"/>
        </w:rPr>
      </w:pPr>
      <w:r>
        <w:rPr>
          <w:rFonts w:hint="default" w:ascii="Times New Roman" w:hAnsi="Times New Roman" w:cs="Times New Roman"/>
        </w:rPr>
        <w:t>以上两个相关方法中的检测仪器都是高效液相色谱（HPLC-DAD）。但HPLC-DAD容易受基质中的其他成分干扰，对目标物和干扰物的分离度要求较高，在同时测试较多物质时，不是优选方法。而用质谱检测器能更有针对性的区分和鉴定目标物，更适宜用于对</w:t>
      </w:r>
      <w:r>
        <w:rPr>
          <w:rFonts w:hint="default" w:ascii="Times New Roman" w:hAnsi="Times New Roman" w:cs="Times New Roman"/>
          <w:lang w:eastAsia="zh-CN"/>
        </w:rPr>
        <w:t>4-羟基苯甲酸及其盐类和酯类</w:t>
      </w:r>
      <w:r>
        <w:rPr>
          <w:rFonts w:hint="default" w:ascii="Times New Roman" w:hAnsi="Times New Roman" w:cs="Times New Roman"/>
        </w:rPr>
        <w:t>的分析。并且，现在液相色谱-质谱仪(LC-MS)在国内很多分析检测实验室中也已经广泛使用。</w:t>
      </w:r>
    </w:p>
    <w:p>
      <w:pPr>
        <w:pStyle w:val="5"/>
        <w:shd w:val="clear" w:color="auto" w:fill="FFFFFF"/>
        <w:spacing w:before="0" w:beforeAutospacing="0" w:after="0" w:afterAutospacing="0" w:line="360" w:lineRule="auto"/>
        <w:rPr>
          <w:rFonts w:hint="default" w:ascii="Times New Roman" w:hAnsi="Times New Roman" w:cs="Times New Roman"/>
          <w:b/>
          <w:bCs/>
        </w:rPr>
      </w:pPr>
      <w:r>
        <w:rPr>
          <w:rFonts w:hint="default" w:ascii="Times New Roman" w:hAnsi="Times New Roman" w:cs="Times New Roman"/>
          <w:b/>
          <w:bCs/>
        </w:rPr>
        <w:t>3、解决的主要问题</w:t>
      </w:r>
    </w:p>
    <w:p>
      <w:pPr>
        <w:spacing w:line="360" w:lineRule="auto"/>
        <w:ind w:firstLine="567"/>
        <w:rPr>
          <w:rFonts w:hint="default" w:ascii="Times New Roman" w:hAnsi="Times New Roman" w:cs="Times New Roman"/>
        </w:rPr>
      </w:pPr>
      <w:r>
        <w:rPr>
          <w:rFonts w:hint="default" w:ascii="Times New Roman" w:hAnsi="Times New Roman" w:cs="Times New Roman"/>
        </w:rPr>
        <w:t>本课题通过对护肤类化妆品(水基、乳液、膏霜)和彩妆类（蜡基、粉基）样品的前处理条件进行验证，以及优化目标物在液相色谱和质谱的检测参数，建立了一套针对</w:t>
      </w:r>
      <w:r>
        <w:rPr>
          <w:rFonts w:hint="default" w:ascii="Times New Roman" w:hAnsi="Times New Roman" w:cs="Times New Roman"/>
          <w:lang w:eastAsia="zh-CN"/>
        </w:rPr>
        <w:t>4-羟基苯甲酸及其盐类和酯类</w:t>
      </w:r>
      <w:r>
        <w:rPr>
          <w:rFonts w:hint="default" w:ascii="Times New Roman" w:hAnsi="Times New Roman" w:cs="Times New Roman"/>
        </w:rPr>
        <w:t>的检测方法。解决的主要问题包括：</w:t>
      </w:r>
    </w:p>
    <w:p>
      <w:pPr>
        <w:pStyle w:val="11"/>
        <w:numPr>
          <w:ilvl w:val="2"/>
          <w:numId w:val="4"/>
        </w:numPr>
        <w:tabs>
          <w:tab w:val="left" w:pos="1276"/>
        </w:tabs>
        <w:spacing w:line="360" w:lineRule="auto"/>
        <w:ind w:left="0" w:firstLine="567" w:firstLineChars="0"/>
        <w:rPr>
          <w:rFonts w:hint="default" w:ascii="Times New Roman" w:hAnsi="Times New Roman" w:cs="Times New Roman"/>
        </w:rPr>
      </w:pPr>
      <w:r>
        <w:rPr>
          <w:rFonts w:hint="default" w:ascii="Times New Roman" w:hAnsi="Times New Roman" w:cs="Times New Roman"/>
        </w:rPr>
        <w:t>建立了提取方法，包括提取溶剂和提取方式。</w:t>
      </w:r>
    </w:p>
    <w:p>
      <w:pPr>
        <w:pStyle w:val="11"/>
        <w:numPr>
          <w:ilvl w:val="2"/>
          <w:numId w:val="4"/>
        </w:numPr>
        <w:tabs>
          <w:tab w:val="left" w:pos="1276"/>
        </w:tabs>
        <w:spacing w:line="360" w:lineRule="auto"/>
        <w:ind w:left="0" w:firstLine="567" w:firstLineChars="0"/>
        <w:rPr>
          <w:rFonts w:hint="default" w:ascii="Times New Roman" w:hAnsi="Times New Roman" w:cs="Times New Roman"/>
        </w:rPr>
      </w:pPr>
      <w:r>
        <w:rPr>
          <w:rFonts w:hint="default" w:ascii="Times New Roman" w:hAnsi="Times New Roman" w:cs="Times New Roman"/>
        </w:rPr>
        <w:t>建立了高效液相色谱-三重四级杆质谱联用仪的分离和检测参数，包括色谱柱、流动相、洗脱梯度、质谱离子源和特征离子等各项参数。</w:t>
      </w:r>
    </w:p>
    <w:p>
      <w:pPr>
        <w:pStyle w:val="11"/>
        <w:numPr>
          <w:ilvl w:val="2"/>
          <w:numId w:val="4"/>
        </w:numPr>
        <w:tabs>
          <w:tab w:val="left" w:pos="1276"/>
        </w:tabs>
        <w:spacing w:line="360" w:lineRule="auto"/>
        <w:ind w:left="0" w:firstLine="567" w:firstLineChars="0"/>
        <w:rPr>
          <w:rFonts w:hint="default" w:ascii="Times New Roman" w:hAnsi="Times New Roman" w:cs="Times New Roman"/>
        </w:rPr>
      </w:pPr>
      <w:r>
        <w:rPr>
          <w:rFonts w:hint="default" w:ascii="Times New Roman" w:hAnsi="Times New Roman" w:cs="Times New Roman"/>
        </w:rPr>
        <w:t>多个单位共同完成了方法学验证，包括方法的标准曲线线性范围、准确度、精密度、定量限和适用性等。</w:t>
      </w:r>
    </w:p>
    <w:p>
      <w:pPr>
        <w:pStyle w:val="5"/>
        <w:shd w:val="clear" w:color="auto" w:fill="FFFFFF"/>
        <w:spacing w:before="0" w:beforeAutospacing="0" w:after="0" w:afterAutospacing="0" w:line="360" w:lineRule="auto"/>
        <w:rPr>
          <w:rFonts w:hint="default" w:ascii="Times New Roman" w:hAnsi="Times New Roman" w:cs="Times New Roman"/>
          <w:b/>
          <w:bCs/>
        </w:rPr>
      </w:pPr>
      <w:r>
        <w:rPr>
          <w:rFonts w:hint="default" w:ascii="Times New Roman" w:hAnsi="Times New Roman" w:cs="Times New Roman"/>
          <w:b/>
          <w:bCs/>
        </w:rPr>
        <w:t>4、修订标准时应列出与原标准的主要差异和水平对比</w:t>
      </w:r>
    </w:p>
    <w:p>
      <w:pPr>
        <w:pStyle w:val="5"/>
        <w:shd w:val="clear" w:color="auto" w:fill="FFFFFF"/>
        <w:spacing w:before="0" w:beforeAutospacing="0" w:after="0" w:afterAutospacing="0" w:line="360" w:lineRule="auto"/>
        <w:ind w:firstLine="451" w:firstLineChars="188"/>
        <w:rPr>
          <w:rFonts w:hint="default" w:ascii="Times New Roman" w:hAnsi="Times New Roman" w:cs="Times New Roman"/>
        </w:rPr>
      </w:pPr>
      <w:r>
        <w:rPr>
          <w:rFonts w:hint="default" w:ascii="Times New Roman" w:hAnsi="Times New Roman" w:cs="Times New Roman"/>
        </w:rPr>
        <w:t>该标准为首次起草，无与原标准的差异和水平对比。</w:t>
      </w:r>
    </w:p>
    <w:p>
      <w:pPr>
        <w:pStyle w:val="5"/>
        <w:shd w:val="clear" w:color="auto" w:fill="FFFFFF"/>
        <w:spacing w:before="0" w:beforeAutospacing="0" w:after="0" w:afterAutospacing="0" w:line="360" w:lineRule="auto"/>
        <w:rPr>
          <w:rFonts w:hint="default" w:ascii="Times New Roman" w:hAnsi="Times New Roman" w:cs="Times New Roman"/>
          <w:b/>
          <w:bCs/>
        </w:rPr>
      </w:pPr>
      <w:r>
        <w:rPr>
          <w:rFonts w:hint="default" w:ascii="Times New Roman" w:hAnsi="Times New Roman" w:cs="Times New Roman"/>
          <w:b/>
          <w:bCs/>
        </w:rPr>
        <w:t>5、标准的技术路线和确定依据</w:t>
      </w:r>
    </w:p>
    <w:p>
      <w:pPr>
        <w:pStyle w:val="5"/>
        <w:numPr>
          <w:ilvl w:val="1"/>
          <w:numId w:val="5"/>
        </w:numPr>
        <w:shd w:val="clear" w:color="auto" w:fill="FFFFFF"/>
        <w:spacing w:before="0" w:beforeAutospacing="0" w:after="0" w:afterAutospacing="0" w:line="360" w:lineRule="auto"/>
        <w:rPr>
          <w:rFonts w:hint="default" w:ascii="Times New Roman" w:hAnsi="Times New Roman" w:cs="Times New Roman"/>
        </w:rPr>
      </w:pPr>
      <w:r>
        <w:rPr>
          <w:rFonts w:hint="default" w:ascii="Times New Roman" w:hAnsi="Times New Roman" w:cs="Times New Roman"/>
        </w:rPr>
        <w:t xml:space="preserve"> 主要技术路线</w:t>
      </w:r>
    </w:p>
    <w:p>
      <w:pPr>
        <w:spacing w:line="360" w:lineRule="auto"/>
        <w:ind w:left="425" w:leftChars="177"/>
        <w:rPr>
          <w:rFonts w:hint="default" w:ascii="Times New Roman" w:hAnsi="Times New Roman" w:cs="Times New Roman"/>
        </w:rPr>
      </w:pPr>
      <w:r>
        <w:rPr>
          <w:rFonts w:hint="default" w:ascii="Times New Roman" w:hAnsi="Times New Roman" w:cs="Times New Roman"/>
        </w:rPr>
        <w:t>（1）前处理条件：提取条件和提取方式</w:t>
      </w:r>
    </w:p>
    <w:p>
      <w:pPr>
        <w:spacing w:line="360" w:lineRule="auto"/>
        <w:ind w:left="425" w:leftChars="177"/>
        <w:rPr>
          <w:rFonts w:hint="default" w:ascii="Times New Roman" w:hAnsi="Times New Roman" w:cs="Times New Roman"/>
        </w:rPr>
      </w:pPr>
      <w:r>
        <w:rPr>
          <w:rFonts w:hint="default" w:ascii="Times New Roman" w:hAnsi="Times New Roman" w:cs="Times New Roman"/>
        </w:rPr>
        <w:t>（2）仪器条件：高效液相色谱条件和质谱条件</w:t>
      </w:r>
    </w:p>
    <w:p>
      <w:pPr>
        <w:pStyle w:val="5"/>
        <w:shd w:val="clear" w:color="auto" w:fill="FFFFFF"/>
        <w:spacing w:before="0" w:beforeAutospacing="0" w:after="0" w:afterAutospacing="0" w:line="360" w:lineRule="auto"/>
        <w:rPr>
          <w:rFonts w:hint="default" w:ascii="Times New Roman" w:hAnsi="Times New Roman" w:cs="Times New Roman"/>
        </w:rPr>
      </w:pPr>
      <w:r>
        <w:rPr>
          <w:rFonts w:hint="default" w:ascii="Times New Roman" w:hAnsi="Times New Roman" w:cs="Times New Roman"/>
        </w:rPr>
        <w:t>5.2  标准物质信息</w:t>
      </w:r>
    </w:p>
    <w:p>
      <w:pPr>
        <w:pStyle w:val="5"/>
        <w:shd w:val="clear" w:color="auto" w:fill="FFFFFF"/>
        <w:spacing w:before="0" w:beforeAutospacing="0" w:after="0" w:afterAutospacing="0" w:line="360" w:lineRule="auto"/>
        <w:ind w:firstLine="480" w:firstLineChars="200"/>
        <w:rPr>
          <w:rFonts w:hint="default" w:ascii="Times New Roman" w:hAnsi="Times New Roman" w:cs="Times New Roman"/>
        </w:rPr>
      </w:pPr>
      <w:r>
        <w:rPr>
          <w:rFonts w:hint="default" w:ascii="Times New Roman" w:hAnsi="Times New Roman" w:cs="Times New Roman"/>
        </w:rPr>
        <w:t>测试22种</w:t>
      </w:r>
      <w:r>
        <w:rPr>
          <w:rFonts w:hint="default" w:ascii="Times New Roman" w:hAnsi="Times New Roman" w:cs="Times New Roman"/>
          <w:lang w:eastAsia="zh-CN"/>
        </w:rPr>
        <w:t>4-羟基苯甲酸及其盐类和酯类</w:t>
      </w:r>
      <w:r>
        <w:rPr>
          <w:rFonts w:hint="default" w:ascii="Times New Roman" w:hAnsi="Times New Roman" w:cs="Times New Roman"/>
        </w:rPr>
        <w:t>所需标准品如下表：</w:t>
      </w:r>
    </w:p>
    <w:p>
      <w:pPr>
        <w:pStyle w:val="5"/>
        <w:shd w:val="clear" w:color="auto" w:fill="FFFFFF"/>
        <w:spacing w:before="0" w:beforeAutospacing="0" w:after="0" w:afterAutospacing="0"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表5. 标准物质</w:t>
      </w:r>
    </w:p>
    <w:tbl>
      <w:tblPr>
        <w:tblStyle w:val="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29"/>
        <w:gridCol w:w="36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jc w:val="center"/>
        </w:trPr>
        <w:tc>
          <w:tcPr>
            <w:tcW w:w="1129" w:type="dxa"/>
            <w:vAlign w:val="center"/>
          </w:tcPr>
          <w:p>
            <w:pPr>
              <w:spacing w:line="360" w:lineRule="auto"/>
              <w:jc w:val="center"/>
              <w:rPr>
                <w:rFonts w:hint="default" w:ascii="Times New Roman" w:hAnsi="Times New Roman" w:cs="Times New Roman"/>
                <w:b/>
                <w:bCs/>
                <w:sz w:val="21"/>
                <w:szCs w:val="21"/>
              </w:rPr>
            </w:pPr>
            <w:r>
              <w:rPr>
                <w:rFonts w:hint="default" w:ascii="Times New Roman" w:hAnsi="Times New Roman" w:cs="Times New Roman"/>
                <w:b/>
                <w:bCs/>
                <w:sz w:val="21"/>
                <w:szCs w:val="21"/>
              </w:rPr>
              <w:t>序号</w:t>
            </w:r>
          </w:p>
        </w:tc>
        <w:tc>
          <w:tcPr>
            <w:tcW w:w="3686" w:type="dxa"/>
            <w:vAlign w:val="center"/>
          </w:tcPr>
          <w:p>
            <w:pPr>
              <w:spacing w:line="360" w:lineRule="auto"/>
              <w:jc w:val="center"/>
              <w:rPr>
                <w:rFonts w:hint="default" w:ascii="Times New Roman" w:hAnsi="Times New Roman" w:cs="Times New Roman"/>
                <w:b/>
                <w:bCs/>
                <w:sz w:val="21"/>
                <w:szCs w:val="21"/>
              </w:rPr>
            </w:pPr>
            <w:r>
              <w:rPr>
                <w:rFonts w:hint="default" w:ascii="Times New Roman" w:hAnsi="Times New Roman" w:cs="Times New Roman"/>
                <w:b/>
                <w:bCs/>
                <w:sz w:val="21"/>
                <w:szCs w:val="21"/>
              </w:rPr>
              <w:t>标准物质名称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jc w:val="center"/>
        </w:trPr>
        <w:tc>
          <w:tcPr>
            <w:tcW w:w="1129"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3686"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4-羟基苯甲酸异丙酯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jc w:val="center"/>
        </w:trPr>
        <w:tc>
          <w:tcPr>
            <w:tcW w:w="1129"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2</w:t>
            </w:r>
          </w:p>
        </w:tc>
        <w:tc>
          <w:tcPr>
            <w:tcW w:w="3686"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4-羟基苯甲酸异丁酯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7" w:hRule="atLeast"/>
          <w:jc w:val="center"/>
        </w:trPr>
        <w:tc>
          <w:tcPr>
            <w:tcW w:w="1129"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3</w:t>
            </w:r>
          </w:p>
        </w:tc>
        <w:tc>
          <w:tcPr>
            <w:tcW w:w="3686"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4-羟基苯甲酸苯酯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7" w:hRule="atLeast"/>
          <w:jc w:val="center"/>
        </w:trPr>
        <w:tc>
          <w:tcPr>
            <w:tcW w:w="1129"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4</w:t>
            </w:r>
          </w:p>
        </w:tc>
        <w:tc>
          <w:tcPr>
            <w:tcW w:w="3686"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4-羟基苯甲酸苯甲酯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7" w:hRule="atLeast"/>
          <w:jc w:val="center"/>
        </w:trPr>
        <w:tc>
          <w:tcPr>
            <w:tcW w:w="1129"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5</w:t>
            </w:r>
          </w:p>
        </w:tc>
        <w:tc>
          <w:tcPr>
            <w:tcW w:w="3686"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4-羟基苯甲酸正戊酯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7" w:hRule="atLeast"/>
          <w:jc w:val="center"/>
        </w:trPr>
        <w:tc>
          <w:tcPr>
            <w:tcW w:w="1129"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6</w:t>
            </w:r>
          </w:p>
        </w:tc>
        <w:tc>
          <w:tcPr>
            <w:tcW w:w="3686"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7" w:hRule="atLeast"/>
          <w:jc w:val="center"/>
        </w:trPr>
        <w:tc>
          <w:tcPr>
            <w:tcW w:w="1129"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7</w:t>
            </w:r>
          </w:p>
        </w:tc>
        <w:tc>
          <w:tcPr>
            <w:tcW w:w="3686"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4-羟基苯甲酸甲酯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jc w:val="center"/>
        </w:trPr>
        <w:tc>
          <w:tcPr>
            <w:tcW w:w="1129"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8</w:t>
            </w:r>
          </w:p>
        </w:tc>
        <w:tc>
          <w:tcPr>
            <w:tcW w:w="3686"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4-羟基苯甲酸丁酯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7" w:hRule="atLeast"/>
          <w:jc w:val="center"/>
        </w:trPr>
        <w:tc>
          <w:tcPr>
            <w:tcW w:w="1129"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9</w:t>
            </w:r>
          </w:p>
        </w:tc>
        <w:tc>
          <w:tcPr>
            <w:tcW w:w="3686"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4-羟基苯甲酸丙酯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7" w:hRule="atLeast"/>
          <w:jc w:val="center"/>
        </w:trPr>
        <w:tc>
          <w:tcPr>
            <w:tcW w:w="1129"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10</w:t>
            </w:r>
          </w:p>
        </w:tc>
        <w:tc>
          <w:tcPr>
            <w:tcW w:w="3686"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4-羟基苯甲酸乙酯</w:t>
            </w:r>
          </w:p>
        </w:tc>
      </w:tr>
    </w:tbl>
    <w:p>
      <w:pPr>
        <w:spacing w:line="360" w:lineRule="auto"/>
        <w:ind w:left="991" w:leftChars="413"/>
        <w:jc w:val="center"/>
        <w:rPr>
          <w:rFonts w:hint="default" w:ascii="Times New Roman" w:hAnsi="Times New Roman" w:cs="Times New Roman"/>
          <w:sz w:val="21"/>
          <w:szCs w:val="21"/>
        </w:rPr>
      </w:pPr>
    </w:p>
    <w:p>
      <w:pPr>
        <w:spacing w:line="360" w:lineRule="auto"/>
        <w:ind w:firstLine="566" w:firstLineChars="236"/>
        <w:rPr>
          <w:rFonts w:hint="default" w:ascii="Times New Roman" w:hAnsi="Times New Roman" w:cs="Times New Roman"/>
        </w:rPr>
      </w:pPr>
      <w:r>
        <w:rPr>
          <w:rFonts w:hint="default" w:ascii="Times New Roman" w:hAnsi="Times New Roman" w:cs="Times New Roman"/>
        </w:rPr>
        <w:t>结构式以4-羟基苯甲酸丙酯为例，如下图：</w:t>
      </w:r>
    </w:p>
    <w:p>
      <w:pPr>
        <w:spacing w:line="360" w:lineRule="auto"/>
        <w:ind w:left="991" w:leftChars="413"/>
        <w:jc w:val="center"/>
        <w:rPr>
          <w:rFonts w:hint="default" w:ascii="Times New Roman" w:hAnsi="Times New Roman" w:cs="Times New Roman"/>
          <w:sz w:val="21"/>
          <w:szCs w:val="21"/>
        </w:rPr>
      </w:pPr>
      <w:r>
        <w:rPr>
          <w:rFonts w:hint="default" w:ascii="Times New Roman" w:hAnsi="Times New Roman" w:cs="Times New Roman"/>
        </w:rPr>
        <w:drawing>
          <wp:inline distT="0" distB="0" distL="0" distR="0">
            <wp:extent cx="1724025" cy="838200"/>
            <wp:effectExtent l="0" t="0" r="9525" b="0"/>
            <wp:docPr id="1" name="Picture 1" descr="CAS:94-13-3分子结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AS:94-13-3分子结构"/>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728625" cy="840304"/>
                    </a:xfrm>
                    <a:prstGeom prst="rect">
                      <a:avLst/>
                    </a:prstGeom>
                    <a:noFill/>
                    <a:ln>
                      <a:noFill/>
                    </a:ln>
                  </pic:spPr>
                </pic:pic>
              </a:graphicData>
            </a:graphic>
          </wp:inline>
        </w:drawing>
      </w:r>
    </w:p>
    <w:p>
      <w:pPr>
        <w:spacing w:line="360" w:lineRule="auto"/>
        <w:ind w:left="991" w:leftChars="413"/>
        <w:jc w:val="center"/>
        <w:rPr>
          <w:rFonts w:hint="default" w:ascii="Times New Roman" w:hAnsi="Times New Roman" w:cs="Times New Roman"/>
          <w:sz w:val="22"/>
          <w:szCs w:val="22"/>
        </w:rPr>
      </w:pPr>
      <w:r>
        <w:rPr>
          <w:rFonts w:hint="default" w:ascii="Times New Roman" w:hAnsi="Times New Roman" w:cs="Times New Roman"/>
          <w:sz w:val="22"/>
          <w:szCs w:val="22"/>
        </w:rPr>
        <w:t>图1</w:t>
      </w:r>
    </w:p>
    <w:p>
      <w:pPr>
        <w:spacing w:line="360" w:lineRule="auto"/>
        <w:ind w:firstLine="566" w:firstLineChars="236"/>
        <w:rPr>
          <w:rFonts w:hint="default" w:ascii="Times New Roman" w:hAnsi="Times New Roman" w:cs="Times New Roman"/>
        </w:rPr>
      </w:pPr>
      <w:r>
        <w:rPr>
          <w:rFonts w:hint="default" w:ascii="Times New Roman" w:hAnsi="Times New Roman" w:cs="Times New Roman"/>
        </w:rPr>
        <w:t>22种</w:t>
      </w:r>
      <w:r>
        <w:rPr>
          <w:rFonts w:hint="default" w:ascii="Times New Roman" w:hAnsi="Times New Roman" w:cs="Times New Roman"/>
          <w:lang w:eastAsia="zh-CN"/>
        </w:rPr>
        <w:t>4-羟基苯甲酸及其盐类和酯类</w:t>
      </w:r>
      <w:r>
        <w:rPr>
          <w:rFonts w:hint="default" w:ascii="Times New Roman" w:hAnsi="Times New Roman" w:cs="Times New Roman"/>
        </w:rPr>
        <w:t>对应物质如下表：</w:t>
      </w:r>
    </w:p>
    <w:p>
      <w:pPr>
        <w:pStyle w:val="5"/>
        <w:shd w:val="clear" w:color="auto" w:fill="FFFFFF"/>
        <w:spacing w:before="0" w:beforeAutospacing="0" w:after="0" w:afterAutospacing="0"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表6</w:t>
      </w:r>
      <w:r>
        <w:rPr>
          <w:rFonts w:hint="default" w:ascii="Times New Roman" w:hAnsi="Times New Roman" w:cs="Times New Roman"/>
          <w:sz w:val="22"/>
          <w:szCs w:val="22"/>
        </w:rPr>
        <w:t>.</w:t>
      </w:r>
      <w:r>
        <w:rPr>
          <w:rFonts w:hint="default" w:ascii="Times New Roman" w:hAnsi="Times New Roman" w:cs="Times New Roman"/>
          <w:sz w:val="22"/>
          <w:szCs w:val="22"/>
        </w:rPr>
        <w:t xml:space="preserve"> </w:t>
      </w:r>
      <w:r>
        <w:rPr>
          <w:rFonts w:hint="default" w:ascii="Times New Roman" w:hAnsi="Times New Roman" w:cs="Times New Roman"/>
          <w:sz w:val="22"/>
          <w:szCs w:val="22"/>
          <w:lang w:eastAsia="zh-CN"/>
        </w:rPr>
        <w:t>4-羟基苯甲酸及其盐类和酯类</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2817"/>
        <w:gridCol w:w="4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blHeader/>
          <w:jc w:val="center"/>
        </w:trPr>
        <w:tc>
          <w:tcPr>
            <w:tcW w:w="838" w:type="dxa"/>
            <w:vAlign w:val="center"/>
          </w:tcPr>
          <w:p>
            <w:pPr>
              <w:spacing w:line="360" w:lineRule="auto"/>
              <w:jc w:val="center"/>
              <w:rPr>
                <w:rFonts w:hint="default" w:ascii="Times New Roman" w:hAnsi="Times New Roman" w:cs="Times New Roman"/>
                <w:b/>
                <w:bCs/>
                <w:sz w:val="21"/>
                <w:szCs w:val="21"/>
              </w:rPr>
            </w:pPr>
            <w:bookmarkStart w:id="8" w:name="_Hlk347317997"/>
            <w:r>
              <w:rPr>
                <w:rFonts w:hint="default" w:ascii="Times New Roman" w:hAnsi="Times New Roman" w:cs="Times New Roman"/>
                <w:b/>
                <w:bCs/>
                <w:sz w:val="21"/>
                <w:szCs w:val="21"/>
              </w:rPr>
              <w:t>序号</w:t>
            </w:r>
          </w:p>
        </w:tc>
        <w:tc>
          <w:tcPr>
            <w:tcW w:w="2817" w:type="dxa"/>
            <w:vAlign w:val="center"/>
          </w:tcPr>
          <w:p>
            <w:pPr>
              <w:spacing w:line="360" w:lineRule="auto"/>
              <w:jc w:val="center"/>
              <w:rPr>
                <w:rFonts w:hint="default" w:ascii="Times New Roman" w:hAnsi="Times New Roman" w:cs="Times New Roman"/>
                <w:b/>
                <w:bCs/>
                <w:sz w:val="21"/>
                <w:szCs w:val="21"/>
              </w:rPr>
            </w:pPr>
            <w:r>
              <w:rPr>
                <w:rFonts w:hint="default" w:ascii="Times New Roman" w:hAnsi="Times New Roman" w:cs="Times New Roman"/>
                <w:b/>
                <w:bCs/>
                <w:sz w:val="21"/>
                <w:szCs w:val="21"/>
              </w:rPr>
              <w:t>中文名称</w:t>
            </w:r>
          </w:p>
        </w:tc>
        <w:tc>
          <w:tcPr>
            <w:tcW w:w="4003" w:type="dxa"/>
            <w:vAlign w:val="center"/>
          </w:tcPr>
          <w:p>
            <w:pPr>
              <w:spacing w:line="360" w:lineRule="auto"/>
              <w:jc w:val="center"/>
              <w:rPr>
                <w:rFonts w:hint="default" w:ascii="Times New Roman" w:hAnsi="Times New Roman" w:cs="Times New Roman"/>
                <w:b/>
                <w:bCs/>
                <w:sz w:val="21"/>
                <w:szCs w:val="21"/>
              </w:rPr>
            </w:pPr>
            <w:r>
              <w:rPr>
                <w:rFonts w:hint="default" w:ascii="Times New Roman" w:hAnsi="Times New Roman" w:cs="Times New Roman"/>
                <w:b/>
                <w:bCs/>
                <w:sz w:val="21"/>
                <w:szCs w:val="21"/>
              </w:rPr>
              <w:t>英文名称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8"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2817"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4-羟基苯甲酸异丙酯</w:t>
            </w:r>
          </w:p>
        </w:tc>
        <w:tc>
          <w:tcPr>
            <w:tcW w:w="4003"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Isopropyl 4-hydroxybenzoate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838"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2</w:t>
            </w:r>
          </w:p>
        </w:tc>
        <w:tc>
          <w:tcPr>
            <w:tcW w:w="2817"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4-羟基苯甲酸异丁酯</w:t>
            </w:r>
          </w:p>
        </w:tc>
        <w:tc>
          <w:tcPr>
            <w:tcW w:w="4003"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Isobutyl 4-hydroxybenzoate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8"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3</w:t>
            </w:r>
          </w:p>
        </w:tc>
        <w:tc>
          <w:tcPr>
            <w:tcW w:w="2817"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4-羟基苯甲酸异丁酯钠</w:t>
            </w:r>
          </w:p>
        </w:tc>
        <w:tc>
          <w:tcPr>
            <w:tcW w:w="4003" w:type="dxa"/>
            <w:vAlign w:val="center"/>
          </w:tcPr>
          <w:p>
            <w:pPr>
              <w:spacing w:line="360" w:lineRule="auto"/>
              <w:rPr>
                <w:rFonts w:hint="default" w:ascii="Times New Roman" w:hAnsi="Times New Roman" w:cs="Times New Roman"/>
                <w:sz w:val="21"/>
                <w:szCs w:val="21"/>
                <w:highlight w:val="yellow"/>
              </w:rPr>
            </w:pPr>
            <w:r>
              <w:rPr>
                <w:rFonts w:hint="default" w:ascii="Times New Roman" w:hAnsi="Times New Roman" w:cs="Times New Roman"/>
                <w:sz w:val="21"/>
                <w:szCs w:val="21"/>
              </w:rPr>
              <w:t>Sodium isobutylparaben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8"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4</w:t>
            </w:r>
          </w:p>
        </w:tc>
        <w:tc>
          <w:tcPr>
            <w:tcW w:w="2817"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4-羟基苯甲酸苯酯</w:t>
            </w:r>
          </w:p>
        </w:tc>
        <w:tc>
          <w:tcPr>
            <w:tcW w:w="4003"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Phenyl 4-hydroxybenzoate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8"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5</w:t>
            </w:r>
          </w:p>
        </w:tc>
        <w:tc>
          <w:tcPr>
            <w:tcW w:w="2817"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4-羟基苯甲酸苯甲酯</w:t>
            </w:r>
          </w:p>
        </w:tc>
        <w:tc>
          <w:tcPr>
            <w:tcW w:w="4003"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Benzyl 4-hydroxybenzoate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838"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6</w:t>
            </w:r>
          </w:p>
        </w:tc>
        <w:tc>
          <w:tcPr>
            <w:tcW w:w="2817"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4-羟基苯甲酸正戊酯</w:t>
            </w:r>
          </w:p>
        </w:tc>
        <w:tc>
          <w:tcPr>
            <w:tcW w:w="4003"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Pentyl 4-hydroxybenzoate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8"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7</w:t>
            </w:r>
          </w:p>
        </w:tc>
        <w:tc>
          <w:tcPr>
            <w:tcW w:w="2817"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w:t>
            </w:r>
          </w:p>
        </w:tc>
        <w:tc>
          <w:tcPr>
            <w:tcW w:w="4003"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4-Hydroxybenzoic acid;Paraben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8"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8</w:t>
            </w:r>
          </w:p>
        </w:tc>
        <w:tc>
          <w:tcPr>
            <w:tcW w:w="2817"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4-羟基苯甲酸钾</w:t>
            </w:r>
          </w:p>
        </w:tc>
        <w:tc>
          <w:tcPr>
            <w:tcW w:w="4003"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Potassium paraben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838"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9</w:t>
            </w:r>
          </w:p>
        </w:tc>
        <w:tc>
          <w:tcPr>
            <w:tcW w:w="2817"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4-羟基苯甲酸钠</w:t>
            </w:r>
          </w:p>
        </w:tc>
        <w:tc>
          <w:tcPr>
            <w:tcW w:w="4003"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Sodium paraben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8"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10</w:t>
            </w:r>
          </w:p>
        </w:tc>
        <w:tc>
          <w:tcPr>
            <w:tcW w:w="2817"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4-羟基苯甲酸钙</w:t>
            </w:r>
          </w:p>
        </w:tc>
        <w:tc>
          <w:tcPr>
            <w:tcW w:w="4003"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Calcium paraben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8"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11</w:t>
            </w:r>
          </w:p>
        </w:tc>
        <w:tc>
          <w:tcPr>
            <w:tcW w:w="2817"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4-羟基苯甲酸甲酯</w:t>
            </w:r>
          </w:p>
        </w:tc>
        <w:tc>
          <w:tcPr>
            <w:tcW w:w="4003"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Methylparaben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8"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12</w:t>
            </w:r>
          </w:p>
        </w:tc>
        <w:tc>
          <w:tcPr>
            <w:tcW w:w="2817"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4-羟基苯甲酸甲酯钠</w:t>
            </w:r>
          </w:p>
        </w:tc>
        <w:tc>
          <w:tcPr>
            <w:tcW w:w="4003"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Sodium methylparaben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8"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13</w:t>
            </w:r>
          </w:p>
        </w:tc>
        <w:tc>
          <w:tcPr>
            <w:tcW w:w="2817"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4-羟基苯甲酸甲酯钾</w:t>
            </w:r>
          </w:p>
        </w:tc>
        <w:tc>
          <w:tcPr>
            <w:tcW w:w="4003"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Potassium methylparaben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8"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14</w:t>
            </w:r>
          </w:p>
        </w:tc>
        <w:tc>
          <w:tcPr>
            <w:tcW w:w="2817"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4-羟基苯甲酸丁酯</w:t>
            </w:r>
          </w:p>
        </w:tc>
        <w:tc>
          <w:tcPr>
            <w:tcW w:w="4003"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Butylparaben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838"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15</w:t>
            </w:r>
          </w:p>
        </w:tc>
        <w:tc>
          <w:tcPr>
            <w:tcW w:w="2817"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4-羟基苯甲酸丁酯钠</w:t>
            </w:r>
          </w:p>
        </w:tc>
        <w:tc>
          <w:tcPr>
            <w:tcW w:w="4003"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Sodium butylparaben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8"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16</w:t>
            </w:r>
          </w:p>
        </w:tc>
        <w:tc>
          <w:tcPr>
            <w:tcW w:w="2817"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4-羟基苯甲酸丁酯钾</w:t>
            </w:r>
          </w:p>
        </w:tc>
        <w:tc>
          <w:tcPr>
            <w:tcW w:w="4003"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Potassium butylparaben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8"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17</w:t>
            </w:r>
          </w:p>
        </w:tc>
        <w:tc>
          <w:tcPr>
            <w:tcW w:w="2817"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4-羟基苯甲酸丙酯</w:t>
            </w:r>
          </w:p>
        </w:tc>
        <w:tc>
          <w:tcPr>
            <w:tcW w:w="4003"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Propylparaben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8"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18</w:t>
            </w:r>
          </w:p>
        </w:tc>
        <w:tc>
          <w:tcPr>
            <w:tcW w:w="2817"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4-羟基苯甲酸丙酯钠</w:t>
            </w:r>
          </w:p>
        </w:tc>
        <w:tc>
          <w:tcPr>
            <w:tcW w:w="4003"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Sodium propylparaben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8"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19</w:t>
            </w:r>
          </w:p>
        </w:tc>
        <w:tc>
          <w:tcPr>
            <w:tcW w:w="2817"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4-羟基苯甲酸丙酯钾</w:t>
            </w:r>
          </w:p>
        </w:tc>
        <w:tc>
          <w:tcPr>
            <w:tcW w:w="4003"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Potassium propylparaben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8"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20</w:t>
            </w:r>
          </w:p>
        </w:tc>
        <w:tc>
          <w:tcPr>
            <w:tcW w:w="2817"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4-羟基苯甲酸乙酯</w:t>
            </w:r>
          </w:p>
        </w:tc>
        <w:tc>
          <w:tcPr>
            <w:tcW w:w="4003"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Ethylparaben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8"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21</w:t>
            </w:r>
          </w:p>
        </w:tc>
        <w:tc>
          <w:tcPr>
            <w:tcW w:w="2817"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4-羟基苯甲酸乙酯钾</w:t>
            </w:r>
          </w:p>
        </w:tc>
        <w:tc>
          <w:tcPr>
            <w:tcW w:w="4003"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 xml:space="preserve">Potassium ethylparaben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8" w:type="dxa"/>
            <w:vAlign w:val="center"/>
          </w:tcPr>
          <w:p>
            <w:pPr>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t>22</w:t>
            </w:r>
          </w:p>
        </w:tc>
        <w:tc>
          <w:tcPr>
            <w:tcW w:w="2817"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4-羟基苯甲酸乙酯钠</w:t>
            </w:r>
          </w:p>
        </w:tc>
        <w:tc>
          <w:tcPr>
            <w:tcW w:w="4003" w:type="dxa"/>
            <w:vAlign w:val="center"/>
          </w:tcPr>
          <w:p>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Sodium ethylparaben</w:t>
            </w:r>
          </w:p>
        </w:tc>
      </w:tr>
      <w:bookmarkEnd w:id="8"/>
    </w:tbl>
    <w:p>
      <w:pPr>
        <w:spacing w:line="360" w:lineRule="auto"/>
        <w:ind w:left="991" w:leftChars="413"/>
        <w:rPr>
          <w:rFonts w:hint="default" w:ascii="Times New Roman" w:hAnsi="Times New Roman" w:cs="Times New Roman"/>
          <w:sz w:val="21"/>
          <w:szCs w:val="21"/>
        </w:rPr>
      </w:pPr>
    </w:p>
    <w:p>
      <w:pPr>
        <w:spacing w:line="360" w:lineRule="auto"/>
        <w:ind w:left="566" w:leftChars="236"/>
        <w:rPr>
          <w:rFonts w:hint="default" w:ascii="Times New Roman" w:hAnsi="Times New Roman" w:cs="Times New Roman"/>
          <w:sz w:val="21"/>
          <w:szCs w:val="21"/>
        </w:rPr>
      </w:pPr>
      <w:r>
        <w:rPr>
          <w:rFonts w:hint="default" w:ascii="Times New Roman" w:hAnsi="Times New Roman" w:cs="Times New Roman"/>
          <w:sz w:val="21"/>
          <w:szCs w:val="21"/>
        </w:rPr>
        <w:t>注：</w:t>
      </w:r>
    </w:p>
    <w:p>
      <w:pPr>
        <w:spacing w:line="360" w:lineRule="auto"/>
        <w:ind w:left="566" w:leftChars="236"/>
        <w:rPr>
          <w:rFonts w:hint="default" w:ascii="Times New Roman" w:hAnsi="Times New Roman" w:cs="Times New Roman"/>
          <w:sz w:val="21"/>
          <w:szCs w:val="21"/>
        </w:rPr>
      </w:pPr>
      <w:r>
        <w:rPr>
          <w:rFonts w:hint="default" w:ascii="Times New Roman" w:hAnsi="Times New Roman" w:cs="Times New Roman"/>
          <w:sz w:val="21"/>
          <w:szCs w:val="21"/>
        </w:rPr>
        <w:t>1）4-羟基苯甲酸异丁酯和4-羟基苯甲酸异丁酯钠含量以合量表示，其浓度以4-羟基苯甲酸异丁酯计；</w:t>
      </w:r>
    </w:p>
    <w:p>
      <w:pPr>
        <w:spacing w:line="360" w:lineRule="auto"/>
        <w:ind w:left="566" w:leftChars="236"/>
        <w:rPr>
          <w:rFonts w:hint="default" w:ascii="Times New Roman" w:hAnsi="Times New Roman" w:cs="Times New Roman"/>
          <w:sz w:val="21"/>
          <w:szCs w:val="21"/>
        </w:rPr>
      </w:pPr>
      <w:r>
        <w:rPr>
          <w:rFonts w:hint="default" w:ascii="Times New Roman" w:hAnsi="Times New Roman" w:cs="Times New Roman"/>
          <w:sz w:val="21"/>
          <w:szCs w:val="21"/>
        </w:rPr>
        <w:t>2）4-羟基苯甲酸、4-羟基苯甲酸钾、4-羟基苯甲酸钠、4-羟基苯甲酸钙含量以合量表示，其浓度以4-羟基苯甲酸计；</w:t>
      </w:r>
    </w:p>
    <w:p>
      <w:pPr>
        <w:spacing w:line="360" w:lineRule="auto"/>
        <w:ind w:left="566" w:leftChars="236"/>
        <w:rPr>
          <w:rFonts w:hint="default" w:ascii="Times New Roman" w:hAnsi="Times New Roman" w:cs="Times New Roman"/>
          <w:sz w:val="21"/>
          <w:szCs w:val="21"/>
        </w:rPr>
      </w:pPr>
      <w:r>
        <w:rPr>
          <w:rFonts w:hint="default" w:ascii="Times New Roman" w:hAnsi="Times New Roman" w:cs="Times New Roman"/>
          <w:sz w:val="21"/>
          <w:szCs w:val="21"/>
        </w:rPr>
        <w:t>3）4-羟基苯甲酸甲酯、4-羟基苯甲酸甲酯钠、4-羟基苯甲酸甲酯钾含量以合量表示，其浓度以4-羟基苯甲酸甲酯计；</w:t>
      </w:r>
    </w:p>
    <w:p>
      <w:pPr>
        <w:spacing w:line="360" w:lineRule="auto"/>
        <w:ind w:left="566" w:leftChars="236"/>
        <w:rPr>
          <w:rFonts w:hint="default" w:ascii="Times New Roman" w:hAnsi="Times New Roman" w:cs="Times New Roman"/>
          <w:sz w:val="21"/>
          <w:szCs w:val="21"/>
        </w:rPr>
      </w:pPr>
      <w:r>
        <w:rPr>
          <w:rFonts w:hint="default" w:ascii="Times New Roman" w:hAnsi="Times New Roman" w:cs="Times New Roman"/>
          <w:sz w:val="21"/>
          <w:szCs w:val="21"/>
        </w:rPr>
        <w:t>4）4-羟基苯甲酸丁酯、4-羟基苯甲酸丁酯钠、4-羟基苯甲酸丁酯钾含量以合量表示，其浓度以4-羟基苯甲酸丁酯计；</w:t>
      </w:r>
    </w:p>
    <w:p>
      <w:pPr>
        <w:spacing w:line="360" w:lineRule="auto"/>
        <w:ind w:left="566" w:leftChars="236"/>
        <w:rPr>
          <w:rFonts w:hint="default" w:ascii="Times New Roman" w:hAnsi="Times New Roman" w:cs="Times New Roman"/>
          <w:sz w:val="21"/>
          <w:szCs w:val="21"/>
        </w:rPr>
      </w:pPr>
      <w:r>
        <w:rPr>
          <w:rFonts w:hint="default" w:ascii="Times New Roman" w:hAnsi="Times New Roman" w:cs="Times New Roman"/>
          <w:sz w:val="21"/>
          <w:szCs w:val="21"/>
        </w:rPr>
        <w:t>5）4-羟基苯甲酸丙酯、4-羟基苯甲酸丙酯钠、4-羟基苯甲酸丙酯钾含量以合量表示，其浓度以4-羟基苯甲酸丙酯计；</w:t>
      </w:r>
    </w:p>
    <w:p>
      <w:pPr>
        <w:pStyle w:val="5"/>
        <w:shd w:val="clear" w:color="auto" w:fill="FFFFFF"/>
        <w:spacing w:before="0" w:beforeAutospacing="0" w:after="0" w:afterAutospacing="0" w:line="360" w:lineRule="auto"/>
        <w:ind w:left="566" w:leftChars="236"/>
        <w:rPr>
          <w:rFonts w:hint="default" w:ascii="Times New Roman" w:hAnsi="Times New Roman" w:cs="Times New Roman"/>
          <w:sz w:val="21"/>
          <w:szCs w:val="21"/>
        </w:rPr>
      </w:pPr>
      <w:r>
        <w:rPr>
          <w:rFonts w:hint="default" w:ascii="Times New Roman" w:hAnsi="Times New Roman" w:cs="Times New Roman"/>
          <w:sz w:val="21"/>
          <w:szCs w:val="21"/>
        </w:rPr>
        <w:t>6）4-羟基苯甲酸乙酯、4-羟基苯甲酸乙酯钾、4-羟基苯甲酸乙酯钠含量以合量表示，其浓度以4-羟基苯甲酸乙酯计</w:t>
      </w:r>
    </w:p>
    <w:p>
      <w:pPr>
        <w:pStyle w:val="5"/>
        <w:shd w:val="clear" w:color="auto" w:fill="FFFFFF"/>
        <w:spacing w:before="0" w:beforeAutospacing="0" w:after="0" w:afterAutospacing="0" w:line="360" w:lineRule="auto"/>
        <w:ind w:left="991" w:leftChars="413"/>
        <w:rPr>
          <w:rFonts w:hint="default" w:ascii="Times New Roman" w:hAnsi="Times New Roman" w:cs="Times New Roman"/>
          <w:sz w:val="21"/>
          <w:szCs w:val="21"/>
        </w:rPr>
      </w:pPr>
    </w:p>
    <w:p>
      <w:pPr>
        <w:pStyle w:val="5"/>
        <w:shd w:val="clear" w:color="auto" w:fill="FFFFFF"/>
        <w:spacing w:before="0" w:beforeAutospacing="0" w:after="0" w:afterAutospacing="0" w:line="360" w:lineRule="auto"/>
        <w:rPr>
          <w:rFonts w:hint="default" w:ascii="Times New Roman" w:hAnsi="Times New Roman" w:cs="Times New Roman"/>
        </w:rPr>
      </w:pPr>
      <w:r>
        <w:rPr>
          <w:rFonts w:hint="default" w:ascii="Times New Roman" w:hAnsi="Times New Roman" w:cs="Times New Roman"/>
        </w:rPr>
        <w:t>5.3  前处理条件的选择</w:t>
      </w:r>
    </w:p>
    <w:p>
      <w:pPr>
        <w:pStyle w:val="5"/>
        <w:shd w:val="clear" w:color="auto" w:fill="FFFFFF"/>
        <w:spacing w:before="0" w:beforeAutospacing="0" w:after="0" w:afterAutospacing="0" w:line="360" w:lineRule="auto"/>
        <w:ind w:firstLine="480" w:firstLineChars="200"/>
        <w:rPr>
          <w:rFonts w:hint="default" w:ascii="Times New Roman" w:hAnsi="Times New Roman" w:cs="Times New Roman"/>
        </w:rPr>
      </w:pPr>
      <w:r>
        <w:rPr>
          <w:rFonts w:hint="default" w:ascii="Times New Roman" w:hAnsi="Times New Roman" w:cs="Times New Roman"/>
        </w:rPr>
        <w:t>22种</w:t>
      </w:r>
      <w:r>
        <w:rPr>
          <w:rFonts w:hint="default" w:ascii="Times New Roman" w:hAnsi="Times New Roman" w:cs="Times New Roman"/>
          <w:lang w:eastAsia="zh-CN"/>
        </w:rPr>
        <w:t>4-羟基苯甲酸及其盐类和酯类</w:t>
      </w:r>
      <w:r>
        <w:rPr>
          <w:rFonts w:hint="default" w:ascii="Times New Roman" w:hAnsi="Times New Roman" w:cs="Times New Roman"/>
        </w:rPr>
        <w:t>，当其以酸或酯的形式存在时，易溶于醇类。固对于其酸或酯的形式可以用常用的提取溶剂甲醇。这一点等同《化妆品安全技术规范》和欧盟测试标准中的方法。但其以酚盐的形式存在时，在甲醇中的溶</w:t>
      </w:r>
      <w:r>
        <w:rPr>
          <w:rFonts w:hint="default" w:ascii="Times New Roman" w:hAnsi="Times New Roman" w:cs="Times New Roman"/>
        </w:rPr>
        <w:t>解</w:t>
      </w:r>
      <w:r>
        <w:rPr>
          <w:rFonts w:hint="default" w:ascii="Times New Roman" w:hAnsi="Times New Roman" w:cs="Times New Roman"/>
        </w:rPr>
        <w:t>性不佳，用酸化的甲醇能改善其溶解性。经实验，含</w:t>
      </w:r>
      <w:r>
        <w:rPr>
          <w:rFonts w:hint="default" w:ascii="Times New Roman" w:hAnsi="Times New Roman" w:cs="Times New Roman"/>
          <w:sz w:val="21"/>
          <w:szCs w:val="21"/>
          <w:lang w:val="it-IT"/>
        </w:rPr>
        <w:t>0.5 %</w:t>
      </w:r>
      <w:r>
        <w:rPr>
          <w:rFonts w:hint="default" w:ascii="Times New Roman" w:hAnsi="Times New Roman" w:cs="Times New Roman"/>
        </w:rPr>
        <w:t>乙酸的甲醇溶液能有效溶解</w:t>
      </w:r>
      <w:r>
        <w:rPr>
          <w:rFonts w:hint="default" w:ascii="Times New Roman" w:hAnsi="Times New Roman" w:cs="Times New Roman"/>
          <w:lang w:eastAsia="zh-CN"/>
        </w:rPr>
        <w:t>4-羟基苯甲酸及其盐类和酯类</w:t>
      </w:r>
      <w:r>
        <w:rPr>
          <w:rFonts w:hint="default" w:ascii="Times New Roman" w:hAnsi="Times New Roman" w:cs="Times New Roman"/>
        </w:rPr>
        <w:t>，可溶解提取化妆品中的目标物。</w:t>
      </w:r>
    </w:p>
    <w:p>
      <w:pPr>
        <w:pStyle w:val="5"/>
        <w:shd w:val="clear" w:color="auto" w:fill="FFFFFF"/>
        <w:spacing w:before="0" w:beforeAutospacing="0" w:after="0" w:afterAutospacing="0" w:line="360" w:lineRule="auto"/>
        <w:ind w:firstLine="480" w:firstLineChars="200"/>
        <w:rPr>
          <w:rFonts w:hint="default" w:ascii="Times New Roman" w:hAnsi="Times New Roman" w:cs="Times New Roman"/>
        </w:rPr>
      </w:pPr>
      <w:r>
        <w:rPr>
          <w:rFonts w:hint="default" w:ascii="Times New Roman" w:hAnsi="Times New Roman" w:cs="Times New Roman"/>
        </w:rPr>
        <w:t>提取条件沿用《化妆品安全技术规范》（2015年版）4.7中的震荡分散样品后超声提取条件，包括溶液量和超声时间等；但对含蜡样品先用四氢呋喃以确保样品充分分散，再用酸化的甲醇超声提取，这样能确保样品足够分散，进而确保提取效率较高。</w:t>
      </w:r>
    </w:p>
    <w:p>
      <w:pPr>
        <w:pStyle w:val="5"/>
        <w:shd w:val="clear" w:color="auto" w:fill="FFFFFF"/>
        <w:spacing w:before="0" w:beforeAutospacing="0" w:after="0" w:afterAutospacing="0" w:line="360" w:lineRule="auto"/>
        <w:ind w:firstLine="480" w:firstLineChars="200"/>
        <w:rPr>
          <w:rFonts w:hint="default" w:ascii="Times New Roman" w:hAnsi="Times New Roman" w:cs="Times New Roman"/>
        </w:rPr>
      </w:pPr>
      <w:r>
        <w:rPr>
          <w:rFonts w:hint="default" w:ascii="Times New Roman" w:hAnsi="Times New Roman" w:cs="Times New Roman"/>
        </w:rPr>
        <w:t>最后确定前处理条件如下：</w:t>
      </w:r>
    </w:p>
    <w:p>
      <w:pPr>
        <w:pStyle w:val="5"/>
        <w:shd w:val="clear" w:color="auto" w:fill="FFFFFF"/>
        <w:spacing w:before="0" w:beforeAutospacing="0" w:after="0" w:afterAutospacing="0" w:line="360" w:lineRule="auto"/>
        <w:ind w:firstLine="480" w:firstLineChars="200"/>
        <w:rPr>
          <w:rFonts w:hint="default" w:ascii="Times New Roman" w:hAnsi="Times New Roman" w:cs="Times New Roman"/>
        </w:rPr>
      </w:pPr>
      <w:r>
        <w:rPr>
          <w:rFonts w:hint="default" w:ascii="Times New Roman" w:hAnsi="Times New Roman" w:cs="Times New Roman"/>
        </w:rPr>
        <w:t>准确称取试</w:t>
      </w:r>
      <w:r>
        <w:rPr>
          <w:rFonts w:hint="default" w:ascii="Times New Roman" w:hAnsi="Times New Roman" w:cs="Times New Roman"/>
        </w:rPr>
        <w:t>样</w:t>
      </w:r>
      <w:r>
        <w:rPr>
          <w:rFonts w:hint="default" w:ascii="Times New Roman" w:hAnsi="Times New Roman" w:cs="Times New Roman"/>
        </w:rPr>
        <w:t>1.0±0.1 g（精确至0.01 g）于10 mL具塞比色管中， 加入0.5 %乙酸-甲醇至刻度，漩涡振荡2 min使样品分散均匀，超声15 min。移取5mL提取溶液于15mL离心管中，加入5mL 20 %甲醇-水，摇匀，于7000 r/min离心5 min，吸取上清液过0.45 μm PTFE滤膜后用HPLC-MS分析。</w:t>
      </w:r>
    </w:p>
    <w:p>
      <w:pPr>
        <w:pStyle w:val="5"/>
        <w:shd w:val="clear" w:color="auto" w:fill="FFFFFF"/>
        <w:spacing w:before="0" w:beforeAutospacing="0" w:after="0" w:afterAutospacing="0" w:line="360" w:lineRule="auto"/>
        <w:ind w:firstLine="480" w:firstLineChars="200"/>
        <w:rPr>
          <w:rFonts w:hint="default" w:ascii="Times New Roman" w:hAnsi="Times New Roman" w:cs="Times New Roman"/>
        </w:rPr>
      </w:pPr>
      <w:r>
        <w:rPr>
          <w:rFonts w:hint="default" w:ascii="Times New Roman" w:hAnsi="Times New Roman" w:cs="Times New Roman"/>
        </w:rPr>
        <w:t>含蜡质样品（唇膏、口红等）的前处理方法：</w:t>
      </w:r>
    </w:p>
    <w:p>
      <w:pPr>
        <w:pStyle w:val="5"/>
        <w:shd w:val="clear" w:color="auto" w:fill="FFFFFF"/>
        <w:spacing w:before="0" w:beforeAutospacing="0" w:after="0" w:afterAutospacing="0" w:line="360" w:lineRule="auto"/>
        <w:ind w:firstLine="480" w:firstLineChars="200"/>
        <w:rPr>
          <w:rFonts w:hint="default" w:ascii="Times New Roman" w:hAnsi="Times New Roman" w:cs="Times New Roman"/>
        </w:rPr>
      </w:pPr>
      <w:r>
        <w:rPr>
          <w:rFonts w:hint="default" w:ascii="Times New Roman" w:hAnsi="Times New Roman" w:cs="Times New Roman"/>
        </w:rPr>
        <w:t>准确称取研磨成碎块的试</w:t>
      </w:r>
      <w:r>
        <w:rPr>
          <w:rFonts w:hint="default" w:ascii="Times New Roman" w:hAnsi="Times New Roman" w:cs="Times New Roman"/>
        </w:rPr>
        <w:t>样</w:t>
      </w:r>
      <w:r>
        <w:rPr>
          <w:rFonts w:hint="default" w:ascii="Times New Roman" w:hAnsi="Times New Roman" w:cs="Times New Roman"/>
        </w:rPr>
        <w:t>1.0±0.1 g（精确至0.01 g）于50 mL塑料离心管中，加入四氢呋喃10 mL，漩涡振荡10 min使样品分散均匀，加入10 mL 0.5 %乙酸-甲醇，超声30 min，于7000 r/min离心5 min，取上清液待测。</w:t>
      </w:r>
    </w:p>
    <w:p>
      <w:pPr>
        <w:pStyle w:val="5"/>
        <w:shd w:val="clear" w:color="auto" w:fill="FFFFFF"/>
        <w:spacing w:before="0" w:beforeAutospacing="0" w:after="0" w:afterAutospacing="0" w:line="360" w:lineRule="auto"/>
        <w:ind w:firstLine="480" w:firstLineChars="200"/>
        <w:rPr>
          <w:rFonts w:hint="default" w:ascii="Times New Roman" w:hAnsi="Times New Roman" w:cs="Times New Roman"/>
        </w:rPr>
      </w:pPr>
      <w:r>
        <w:rPr>
          <w:rFonts w:hint="default" w:ascii="Times New Roman" w:hAnsi="Times New Roman" w:cs="Times New Roman"/>
        </w:rPr>
        <w:t>由于化妆品基质较复杂，某些样品可能存在基质效应，影响测试信号的响应，使结果出现偏差。固增加基质校正步骤。将与待测样品基质同类型的阴性样品，按同样的前处理操作，获得阴性样品基质溶液。根据被测样品中4-羟基苯甲酸及其酯和盐类的浓度水平，用阴性样品基质溶液稀释适量混合标准工作溶液得到基质校正溶液。</w:t>
      </w:r>
    </w:p>
    <w:p>
      <w:pPr>
        <w:pStyle w:val="5"/>
        <w:shd w:val="clear" w:color="auto" w:fill="FFFFFF"/>
        <w:spacing w:before="0" w:beforeAutospacing="0" w:after="0" w:afterAutospacing="0" w:line="360" w:lineRule="auto"/>
        <w:rPr>
          <w:rFonts w:hint="default" w:ascii="Times New Roman" w:hAnsi="Times New Roman" w:cs="Times New Roman"/>
        </w:rPr>
      </w:pPr>
      <w:r>
        <w:rPr>
          <w:rFonts w:hint="default" w:ascii="Times New Roman" w:hAnsi="Times New Roman" w:cs="Times New Roman"/>
        </w:rPr>
        <w:t>5.4  仪器条件的选择</w:t>
      </w:r>
    </w:p>
    <w:p>
      <w:pPr>
        <w:pStyle w:val="5"/>
        <w:shd w:val="clear" w:color="auto" w:fill="FFFFFF"/>
        <w:spacing w:before="0" w:beforeAutospacing="0" w:after="0" w:afterAutospacing="0" w:line="360" w:lineRule="auto"/>
        <w:ind w:firstLine="480" w:firstLineChars="200"/>
        <w:rPr>
          <w:rFonts w:hint="default" w:ascii="Times New Roman" w:hAnsi="Times New Roman" w:cs="Times New Roman"/>
        </w:rPr>
      </w:pPr>
      <w:r>
        <w:rPr>
          <w:rFonts w:hint="default" w:ascii="Times New Roman" w:hAnsi="Times New Roman" w:cs="Times New Roman"/>
        </w:rPr>
        <w:t>提取后的</w:t>
      </w:r>
      <w:r>
        <w:rPr>
          <w:rFonts w:hint="default" w:ascii="Times New Roman" w:hAnsi="Times New Roman" w:cs="Times New Roman"/>
          <w:lang w:eastAsia="zh-CN"/>
        </w:rPr>
        <w:t>4-羟基苯甲酸及其盐类和酯类</w:t>
      </w:r>
      <w:r>
        <w:rPr>
          <w:rFonts w:hint="default" w:ascii="Times New Roman" w:hAnsi="Times New Roman" w:cs="Times New Roman"/>
        </w:rPr>
        <w:t>以4-羟基苯甲酸或酯类形式存在，其酚羟基也易电离为阴离子形式。</w:t>
      </w:r>
      <w:r>
        <w:rPr>
          <w:rFonts w:hint="default" w:ascii="Times New Roman" w:hAnsi="Times New Roman" w:cs="Times New Roman"/>
        </w:rPr>
        <w:t>因此</w:t>
      </w:r>
      <w:r>
        <w:rPr>
          <w:rFonts w:hint="default" w:ascii="Times New Roman" w:hAnsi="Times New Roman" w:cs="Times New Roman"/>
        </w:rPr>
        <w:t>质谱采用ESI负模式。优化后的质谱参数如下：</w:t>
      </w:r>
    </w:p>
    <w:p>
      <w:pPr>
        <w:spacing w:line="360" w:lineRule="auto"/>
        <w:ind w:right="22"/>
        <w:jc w:val="center"/>
        <w:rPr>
          <w:rFonts w:hint="default" w:ascii="Times New Roman" w:hAnsi="Times New Roman" w:cs="Times New Roman"/>
          <w:sz w:val="22"/>
          <w:szCs w:val="22"/>
        </w:rPr>
      </w:pPr>
      <w:r>
        <w:rPr>
          <w:rFonts w:hint="default" w:ascii="Times New Roman" w:hAnsi="Times New Roman" w:cs="Times New Roman"/>
          <w:sz w:val="22"/>
          <w:szCs w:val="22"/>
        </w:rPr>
        <w:t xml:space="preserve"> 表7. 质谱分析条件(参考)</w:t>
      </w:r>
    </w:p>
    <w:tbl>
      <w:tblPr>
        <w:tblStyle w:val="6"/>
        <w:tblW w:w="941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08"/>
        <w:gridCol w:w="1417"/>
        <w:gridCol w:w="2552"/>
        <w:gridCol w:w="709"/>
        <w:gridCol w:w="1559"/>
        <w:gridCol w:w="17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0" w:hRule="atLeast"/>
          <w:jc w:val="center"/>
        </w:trPr>
        <w:tc>
          <w:tcPr>
            <w:tcW w:w="1408" w:type="dxa"/>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sz w:val="22"/>
                <w:szCs w:val="22"/>
              </w:rPr>
              <w:t>离子源</w:t>
            </w:r>
          </w:p>
        </w:tc>
        <w:tc>
          <w:tcPr>
            <w:tcW w:w="8011" w:type="dxa"/>
            <w:gridSpan w:val="5"/>
            <w:vAlign w:val="center"/>
          </w:tcPr>
          <w:p>
            <w:pPr>
              <w:spacing w:line="360" w:lineRule="auto"/>
              <w:jc w:val="center"/>
              <w:rPr>
                <w:rFonts w:hint="default" w:ascii="Times New Roman" w:hAnsi="Times New Roman" w:cs="Times New Roman"/>
                <w:color w:val="000000"/>
                <w:sz w:val="22"/>
                <w:szCs w:val="22"/>
                <w:lang w:val="pt-BR"/>
              </w:rPr>
            </w:pPr>
            <w:r>
              <w:rPr>
                <w:rFonts w:hint="default" w:ascii="Times New Roman" w:hAnsi="Times New Roman" w:cs="Times New Roman"/>
                <w:sz w:val="22"/>
                <w:szCs w:val="22"/>
              </w:rPr>
              <w:t>电喷雾电离离子源（ESI）</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0" w:hRule="atLeast"/>
          <w:jc w:val="center"/>
        </w:trPr>
        <w:tc>
          <w:tcPr>
            <w:tcW w:w="1408" w:type="dxa"/>
            <w:vAlign w:val="center"/>
          </w:tcPr>
          <w:p>
            <w:pPr>
              <w:spacing w:line="360" w:lineRule="auto"/>
              <w:rPr>
                <w:rFonts w:hint="default" w:ascii="Times New Roman" w:hAnsi="Times New Roman" w:cs="Times New Roman"/>
                <w:color w:val="000000"/>
                <w:sz w:val="22"/>
                <w:szCs w:val="22"/>
              </w:rPr>
            </w:pPr>
            <w:r>
              <w:rPr>
                <w:rFonts w:hint="default" w:ascii="Times New Roman" w:hAnsi="Times New Roman" w:cs="Times New Roman"/>
                <w:sz w:val="22"/>
                <w:szCs w:val="22"/>
              </w:rPr>
              <w:t>干燥气温度</w:t>
            </w:r>
          </w:p>
        </w:tc>
        <w:tc>
          <w:tcPr>
            <w:tcW w:w="8011" w:type="dxa"/>
            <w:gridSpan w:val="5"/>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 xml:space="preserve">350 </w:t>
            </w:r>
            <w:r>
              <w:rPr>
                <w:rFonts w:hint="default" w:ascii="Times New Roman" w:hAnsi="Times New Roman" w:eastAsia="微软雅黑" w:cs="Times New Roman"/>
                <w:sz w:val="22"/>
                <w:szCs w:val="22"/>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0" w:hRule="atLeast"/>
          <w:jc w:val="center"/>
        </w:trPr>
        <w:tc>
          <w:tcPr>
            <w:tcW w:w="1408" w:type="dxa"/>
            <w:vAlign w:val="center"/>
          </w:tcPr>
          <w:p>
            <w:pPr>
              <w:spacing w:line="360" w:lineRule="auto"/>
              <w:rPr>
                <w:rFonts w:hint="default" w:ascii="Times New Roman" w:hAnsi="Times New Roman" w:cs="Times New Roman"/>
                <w:color w:val="000000"/>
                <w:sz w:val="22"/>
                <w:szCs w:val="22"/>
              </w:rPr>
            </w:pPr>
            <w:r>
              <w:rPr>
                <w:rFonts w:hint="default" w:ascii="Times New Roman" w:hAnsi="Times New Roman" w:cs="Times New Roman"/>
                <w:sz w:val="22"/>
                <w:szCs w:val="22"/>
              </w:rPr>
              <w:t>干燥气流速</w:t>
            </w:r>
          </w:p>
        </w:tc>
        <w:tc>
          <w:tcPr>
            <w:tcW w:w="8011" w:type="dxa"/>
            <w:gridSpan w:val="5"/>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12 L/min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0" w:hRule="atLeast"/>
          <w:jc w:val="center"/>
        </w:trPr>
        <w:tc>
          <w:tcPr>
            <w:tcW w:w="1408" w:type="dxa"/>
            <w:vAlign w:val="center"/>
          </w:tcPr>
          <w:p>
            <w:pPr>
              <w:spacing w:line="360" w:lineRule="auto"/>
              <w:rPr>
                <w:rFonts w:hint="default" w:ascii="Times New Roman" w:hAnsi="Times New Roman" w:cs="Times New Roman"/>
                <w:sz w:val="22"/>
                <w:szCs w:val="22"/>
              </w:rPr>
            </w:pPr>
            <w:r>
              <w:rPr>
                <w:rFonts w:hint="default" w:ascii="Times New Roman" w:hAnsi="Times New Roman" w:cs="Times New Roman"/>
                <w:sz w:val="22"/>
                <w:szCs w:val="22"/>
              </w:rPr>
              <w:t>喷雾压力</w:t>
            </w:r>
          </w:p>
        </w:tc>
        <w:tc>
          <w:tcPr>
            <w:tcW w:w="8011" w:type="dxa"/>
            <w:gridSpan w:val="5"/>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35 psi</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0" w:hRule="atLeast"/>
          <w:jc w:val="center"/>
        </w:trPr>
        <w:tc>
          <w:tcPr>
            <w:tcW w:w="1408" w:type="dxa"/>
            <w:vAlign w:val="center"/>
          </w:tcPr>
          <w:p>
            <w:pPr>
              <w:spacing w:line="360" w:lineRule="auto"/>
              <w:rPr>
                <w:rFonts w:hint="default" w:ascii="Times New Roman" w:hAnsi="Times New Roman" w:cs="Times New Roman"/>
                <w:sz w:val="22"/>
                <w:szCs w:val="22"/>
                <w:highlight w:val="yellow"/>
              </w:rPr>
            </w:pPr>
            <w:r>
              <w:rPr>
                <w:rFonts w:hint="default" w:ascii="Times New Roman" w:hAnsi="Times New Roman" w:cs="Times New Roman"/>
                <w:sz w:val="22"/>
                <w:szCs w:val="22"/>
              </w:rPr>
              <w:t>毛细管电压</w:t>
            </w:r>
          </w:p>
        </w:tc>
        <w:tc>
          <w:tcPr>
            <w:tcW w:w="8011" w:type="dxa"/>
            <w:gridSpan w:val="5"/>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 xml:space="preserve"> 4000 V</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0" w:hRule="atLeast"/>
          <w:jc w:val="center"/>
        </w:trPr>
        <w:tc>
          <w:tcPr>
            <w:tcW w:w="1408" w:type="dxa"/>
            <w:vMerge w:val="restart"/>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电离参数及</w:t>
            </w:r>
          </w:p>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特征离子</w:t>
            </w:r>
          </w:p>
        </w:tc>
        <w:tc>
          <w:tcPr>
            <w:tcW w:w="1417" w:type="dxa"/>
            <w:vMerge w:val="restart"/>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sz w:val="22"/>
                <w:szCs w:val="22"/>
              </w:rPr>
              <w:t>Negative，</w:t>
            </w:r>
            <w:r>
              <w:rPr>
                <w:rFonts w:hint="default" w:ascii="Times New Roman" w:hAnsi="Times New Roman" w:cs="Times New Roman"/>
                <w:color w:val="000000"/>
                <w:sz w:val="22"/>
                <w:szCs w:val="22"/>
              </w:rPr>
              <w:t>SCAN</w:t>
            </w:r>
          </w:p>
        </w:tc>
        <w:tc>
          <w:tcPr>
            <w:tcW w:w="3261" w:type="dxa"/>
            <w:gridSpan w:val="2"/>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sz w:val="22"/>
                <w:szCs w:val="22"/>
              </w:rPr>
              <w:t>扫描范围（</w:t>
            </w:r>
            <w:r>
              <w:rPr>
                <w:rFonts w:hint="default" w:ascii="Times New Roman" w:hAnsi="Times New Roman" w:cs="Times New Roman"/>
                <w:color w:val="000000"/>
                <w:sz w:val="22"/>
                <w:szCs w:val="22"/>
              </w:rPr>
              <w:t>m/z）</w:t>
            </w:r>
          </w:p>
        </w:tc>
        <w:tc>
          <w:tcPr>
            <w:tcW w:w="3333" w:type="dxa"/>
            <w:gridSpan w:val="2"/>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60 ~300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0" w:hRule="atLeast"/>
          <w:jc w:val="center"/>
        </w:trPr>
        <w:tc>
          <w:tcPr>
            <w:tcW w:w="1408" w:type="dxa"/>
            <w:vMerge w:val="continue"/>
            <w:vAlign w:val="center"/>
          </w:tcPr>
          <w:p>
            <w:pPr>
              <w:spacing w:line="360" w:lineRule="auto"/>
              <w:rPr>
                <w:rFonts w:hint="default" w:ascii="Times New Roman" w:hAnsi="Times New Roman" w:cs="Times New Roman"/>
                <w:sz w:val="22"/>
                <w:szCs w:val="22"/>
              </w:rPr>
            </w:pPr>
          </w:p>
        </w:tc>
        <w:tc>
          <w:tcPr>
            <w:tcW w:w="1417" w:type="dxa"/>
            <w:vMerge w:val="continue"/>
            <w:vAlign w:val="center"/>
          </w:tcPr>
          <w:p>
            <w:pPr>
              <w:spacing w:line="360" w:lineRule="auto"/>
              <w:jc w:val="center"/>
              <w:rPr>
                <w:rFonts w:hint="default" w:ascii="Times New Roman" w:hAnsi="Times New Roman" w:cs="Times New Roman"/>
                <w:color w:val="000000"/>
                <w:sz w:val="22"/>
                <w:szCs w:val="22"/>
              </w:rPr>
            </w:pPr>
          </w:p>
        </w:tc>
        <w:tc>
          <w:tcPr>
            <w:tcW w:w="3261" w:type="dxa"/>
            <w:gridSpan w:val="2"/>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碎裂电压（V）</w:t>
            </w:r>
          </w:p>
        </w:tc>
        <w:tc>
          <w:tcPr>
            <w:tcW w:w="3333" w:type="dxa"/>
            <w:gridSpan w:val="2"/>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175（4-羟基苯甲酸正戊酯）</w:t>
            </w:r>
          </w:p>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150（其余化合物）</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0" w:hRule="atLeast"/>
          <w:jc w:val="center"/>
        </w:trPr>
        <w:tc>
          <w:tcPr>
            <w:tcW w:w="1408" w:type="dxa"/>
            <w:vMerge w:val="continue"/>
            <w:vAlign w:val="center"/>
          </w:tcPr>
          <w:p>
            <w:pPr>
              <w:spacing w:line="360" w:lineRule="auto"/>
              <w:rPr>
                <w:rFonts w:hint="default" w:ascii="Times New Roman" w:hAnsi="Times New Roman" w:cs="Times New Roman"/>
                <w:sz w:val="22"/>
                <w:szCs w:val="22"/>
              </w:rPr>
            </w:pPr>
          </w:p>
        </w:tc>
        <w:tc>
          <w:tcPr>
            <w:tcW w:w="1417" w:type="dxa"/>
            <w:vMerge w:val="restart"/>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sz w:val="22"/>
                <w:szCs w:val="22"/>
              </w:rPr>
              <w:t>Negative，SIM</w:t>
            </w:r>
          </w:p>
        </w:tc>
        <w:tc>
          <w:tcPr>
            <w:tcW w:w="2552" w:type="dxa"/>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化合物</w:t>
            </w:r>
          </w:p>
        </w:tc>
        <w:tc>
          <w:tcPr>
            <w:tcW w:w="2268" w:type="dxa"/>
            <w:gridSpan w:val="2"/>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特征离子</w:t>
            </w:r>
            <w:r>
              <w:rPr>
                <w:rFonts w:hint="default" w:ascii="Times New Roman" w:hAnsi="Times New Roman" w:cs="Times New Roman"/>
                <w:sz w:val="22"/>
                <w:szCs w:val="22"/>
              </w:rPr>
              <w:t>（</w:t>
            </w:r>
            <w:r>
              <w:rPr>
                <w:rFonts w:hint="default" w:ascii="Times New Roman" w:hAnsi="Times New Roman" w:cs="Times New Roman"/>
                <w:color w:val="000000"/>
                <w:sz w:val="22"/>
                <w:szCs w:val="22"/>
              </w:rPr>
              <w:t>m/z）</w:t>
            </w:r>
          </w:p>
        </w:tc>
        <w:tc>
          <w:tcPr>
            <w:tcW w:w="1774" w:type="dxa"/>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碎裂电压（V）</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0" w:hRule="atLeast"/>
          <w:jc w:val="center"/>
        </w:trPr>
        <w:tc>
          <w:tcPr>
            <w:tcW w:w="1408" w:type="dxa"/>
            <w:vMerge w:val="continue"/>
            <w:vAlign w:val="center"/>
          </w:tcPr>
          <w:p>
            <w:pPr>
              <w:spacing w:line="360" w:lineRule="auto"/>
              <w:rPr>
                <w:rFonts w:hint="default" w:ascii="Times New Roman" w:hAnsi="Times New Roman" w:cs="Times New Roman"/>
                <w:sz w:val="22"/>
                <w:szCs w:val="22"/>
              </w:rPr>
            </w:pPr>
          </w:p>
        </w:tc>
        <w:tc>
          <w:tcPr>
            <w:tcW w:w="1417" w:type="dxa"/>
            <w:vMerge w:val="continue"/>
            <w:vAlign w:val="center"/>
          </w:tcPr>
          <w:p>
            <w:pPr>
              <w:spacing w:line="360" w:lineRule="auto"/>
              <w:jc w:val="center"/>
              <w:rPr>
                <w:rFonts w:hint="default" w:ascii="Times New Roman" w:hAnsi="Times New Roman" w:cs="Times New Roman"/>
                <w:sz w:val="22"/>
                <w:szCs w:val="22"/>
              </w:rPr>
            </w:pPr>
          </w:p>
        </w:tc>
        <w:tc>
          <w:tcPr>
            <w:tcW w:w="2552"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4-羟基苯甲酸异丙酯</w:t>
            </w:r>
          </w:p>
        </w:tc>
        <w:tc>
          <w:tcPr>
            <w:tcW w:w="2268" w:type="dxa"/>
            <w:gridSpan w:val="2"/>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*179、92.1</w:t>
            </w:r>
          </w:p>
        </w:tc>
        <w:tc>
          <w:tcPr>
            <w:tcW w:w="1774" w:type="dxa"/>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0" w:hRule="atLeast"/>
          <w:jc w:val="center"/>
        </w:trPr>
        <w:tc>
          <w:tcPr>
            <w:tcW w:w="1408" w:type="dxa"/>
            <w:vMerge w:val="continue"/>
            <w:vAlign w:val="center"/>
          </w:tcPr>
          <w:p>
            <w:pPr>
              <w:spacing w:line="360" w:lineRule="auto"/>
              <w:rPr>
                <w:rFonts w:hint="default" w:ascii="Times New Roman" w:hAnsi="Times New Roman" w:cs="Times New Roman"/>
                <w:sz w:val="22"/>
                <w:szCs w:val="22"/>
              </w:rPr>
            </w:pPr>
          </w:p>
        </w:tc>
        <w:tc>
          <w:tcPr>
            <w:tcW w:w="1417" w:type="dxa"/>
            <w:vMerge w:val="continue"/>
            <w:vAlign w:val="center"/>
          </w:tcPr>
          <w:p>
            <w:pPr>
              <w:spacing w:line="360" w:lineRule="auto"/>
              <w:jc w:val="center"/>
              <w:rPr>
                <w:rFonts w:hint="default" w:ascii="Times New Roman" w:hAnsi="Times New Roman" w:cs="Times New Roman"/>
                <w:sz w:val="22"/>
                <w:szCs w:val="22"/>
              </w:rPr>
            </w:pPr>
          </w:p>
        </w:tc>
        <w:tc>
          <w:tcPr>
            <w:tcW w:w="2552"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4-羟基苯甲酸异丁酯</w:t>
            </w:r>
          </w:p>
        </w:tc>
        <w:tc>
          <w:tcPr>
            <w:tcW w:w="2268" w:type="dxa"/>
            <w:gridSpan w:val="2"/>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*193、92.1</w:t>
            </w:r>
          </w:p>
        </w:tc>
        <w:tc>
          <w:tcPr>
            <w:tcW w:w="1774" w:type="dxa"/>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115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0" w:hRule="atLeast"/>
          <w:jc w:val="center"/>
        </w:trPr>
        <w:tc>
          <w:tcPr>
            <w:tcW w:w="1408" w:type="dxa"/>
            <w:vMerge w:val="continue"/>
            <w:vAlign w:val="center"/>
          </w:tcPr>
          <w:p>
            <w:pPr>
              <w:spacing w:line="360" w:lineRule="auto"/>
              <w:rPr>
                <w:rFonts w:hint="default" w:ascii="Times New Roman" w:hAnsi="Times New Roman" w:cs="Times New Roman"/>
                <w:sz w:val="22"/>
                <w:szCs w:val="22"/>
              </w:rPr>
            </w:pPr>
          </w:p>
        </w:tc>
        <w:tc>
          <w:tcPr>
            <w:tcW w:w="1417" w:type="dxa"/>
            <w:vMerge w:val="continue"/>
            <w:vAlign w:val="center"/>
          </w:tcPr>
          <w:p>
            <w:pPr>
              <w:spacing w:line="360" w:lineRule="auto"/>
              <w:jc w:val="center"/>
              <w:rPr>
                <w:rFonts w:hint="default" w:ascii="Times New Roman" w:hAnsi="Times New Roman" w:cs="Times New Roman"/>
                <w:sz w:val="22"/>
                <w:szCs w:val="22"/>
              </w:rPr>
            </w:pPr>
          </w:p>
        </w:tc>
        <w:tc>
          <w:tcPr>
            <w:tcW w:w="2552"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4-羟基苯甲酸苯酯</w:t>
            </w:r>
          </w:p>
        </w:tc>
        <w:tc>
          <w:tcPr>
            <w:tcW w:w="2268" w:type="dxa"/>
            <w:gridSpan w:val="2"/>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*213、93.1</w:t>
            </w:r>
          </w:p>
        </w:tc>
        <w:tc>
          <w:tcPr>
            <w:tcW w:w="1774" w:type="dxa"/>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95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0" w:hRule="atLeast"/>
          <w:jc w:val="center"/>
        </w:trPr>
        <w:tc>
          <w:tcPr>
            <w:tcW w:w="1408" w:type="dxa"/>
            <w:vMerge w:val="continue"/>
            <w:vAlign w:val="center"/>
          </w:tcPr>
          <w:p>
            <w:pPr>
              <w:spacing w:line="360" w:lineRule="auto"/>
              <w:rPr>
                <w:rFonts w:hint="default" w:ascii="Times New Roman" w:hAnsi="Times New Roman" w:cs="Times New Roman"/>
                <w:sz w:val="22"/>
                <w:szCs w:val="22"/>
              </w:rPr>
            </w:pPr>
          </w:p>
        </w:tc>
        <w:tc>
          <w:tcPr>
            <w:tcW w:w="1417" w:type="dxa"/>
            <w:vMerge w:val="continue"/>
            <w:vAlign w:val="center"/>
          </w:tcPr>
          <w:p>
            <w:pPr>
              <w:spacing w:line="360" w:lineRule="auto"/>
              <w:jc w:val="center"/>
              <w:rPr>
                <w:rFonts w:hint="default" w:ascii="Times New Roman" w:hAnsi="Times New Roman" w:cs="Times New Roman"/>
                <w:sz w:val="22"/>
                <w:szCs w:val="22"/>
              </w:rPr>
            </w:pPr>
          </w:p>
        </w:tc>
        <w:tc>
          <w:tcPr>
            <w:tcW w:w="2552"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4-羟基苯甲酸苯甲酯</w:t>
            </w:r>
          </w:p>
        </w:tc>
        <w:tc>
          <w:tcPr>
            <w:tcW w:w="2268" w:type="dxa"/>
            <w:gridSpan w:val="2"/>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*227、92.1</w:t>
            </w:r>
          </w:p>
        </w:tc>
        <w:tc>
          <w:tcPr>
            <w:tcW w:w="1774" w:type="dxa"/>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108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0" w:hRule="atLeast"/>
          <w:jc w:val="center"/>
        </w:trPr>
        <w:tc>
          <w:tcPr>
            <w:tcW w:w="1408" w:type="dxa"/>
            <w:vMerge w:val="continue"/>
            <w:vAlign w:val="center"/>
          </w:tcPr>
          <w:p>
            <w:pPr>
              <w:spacing w:line="360" w:lineRule="auto"/>
              <w:rPr>
                <w:rFonts w:hint="default" w:ascii="Times New Roman" w:hAnsi="Times New Roman" w:cs="Times New Roman"/>
                <w:sz w:val="22"/>
                <w:szCs w:val="22"/>
              </w:rPr>
            </w:pPr>
          </w:p>
        </w:tc>
        <w:tc>
          <w:tcPr>
            <w:tcW w:w="1417" w:type="dxa"/>
            <w:vMerge w:val="continue"/>
            <w:vAlign w:val="center"/>
          </w:tcPr>
          <w:p>
            <w:pPr>
              <w:spacing w:line="360" w:lineRule="auto"/>
              <w:jc w:val="center"/>
              <w:rPr>
                <w:rFonts w:hint="default" w:ascii="Times New Roman" w:hAnsi="Times New Roman" w:cs="Times New Roman"/>
                <w:sz w:val="22"/>
                <w:szCs w:val="22"/>
              </w:rPr>
            </w:pPr>
          </w:p>
        </w:tc>
        <w:tc>
          <w:tcPr>
            <w:tcW w:w="2552"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4-羟基苯甲酸正戊酯</w:t>
            </w:r>
          </w:p>
        </w:tc>
        <w:tc>
          <w:tcPr>
            <w:tcW w:w="2268" w:type="dxa"/>
            <w:gridSpan w:val="2"/>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*207、92.1</w:t>
            </w:r>
          </w:p>
        </w:tc>
        <w:tc>
          <w:tcPr>
            <w:tcW w:w="1774" w:type="dxa"/>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125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0" w:hRule="atLeast"/>
          <w:jc w:val="center"/>
        </w:trPr>
        <w:tc>
          <w:tcPr>
            <w:tcW w:w="1408" w:type="dxa"/>
            <w:vMerge w:val="continue"/>
            <w:vAlign w:val="center"/>
          </w:tcPr>
          <w:p>
            <w:pPr>
              <w:spacing w:line="360" w:lineRule="auto"/>
              <w:rPr>
                <w:rFonts w:hint="default" w:ascii="Times New Roman" w:hAnsi="Times New Roman" w:cs="Times New Roman"/>
                <w:sz w:val="22"/>
                <w:szCs w:val="22"/>
              </w:rPr>
            </w:pPr>
          </w:p>
        </w:tc>
        <w:tc>
          <w:tcPr>
            <w:tcW w:w="1417" w:type="dxa"/>
            <w:vMerge w:val="continue"/>
            <w:vAlign w:val="center"/>
          </w:tcPr>
          <w:p>
            <w:pPr>
              <w:spacing w:line="360" w:lineRule="auto"/>
              <w:jc w:val="center"/>
              <w:rPr>
                <w:rFonts w:hint="default" w:ascii="Times New Roman" w:hAnsi="Times New Roman" w:cs="Times New Roman"/>
                <w:sz w:val="22"/>
                <w:szCs w:val="22"/>
              </w:rPr>
            </w:pPr>
          </w:p>
        </w:tc>
        <w:tc>
          <w:tcPr>
            <w:tcW w:w="2552"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 xml:space="preserve">4-羟基苯甲酸 </w:t>
            </w:r>
          </w:p>
        </w:tc>
        <w:tc>
          <w:tcPr>
            <w:tcW w:w="2268" w:type="dxa"/>
            <w:gridSpan w:val="2"/>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*137、93.1</w:t>
            </w:r>
          </w:p>
        </w:tc>
        <w:tc>
          <w:tcPr>
            <w:tcW w:w="1774" w:type="dxa"/>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90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0" w:hRule="atLeast"/>
          <w:jc w:val="center"/>
        </w:trPr>
        <w:tc>
          <w:tcPr>
            <w:tcW w:w="1408" w:type="dxa"/>
            <w:vMerge w:val="continue"/>
            <w:vAlign w:val="center"/>
          </w:tcPr>
          <w:p>
            <w:pPr>
              <w:spacing w:line="360" w:lineRule="auto"/>
              <w:rPr>
                <w:rFonts w:hint="default" w:ascii="Times New Roman" w:hAnsi="Times New Roman" w:cs="Times New Roman"/>
                <w:sz w:val="22"/>
                <w:szCs w:val="22"/>
              </w:rPr>
            </w:pPr>
          </w:p>
        </w:tc>
        <w:tc>
          <w:tcPr>
            <w:tcW w:w="1417" w:type="dxa"/>
            <w:vMerge w:val="continue"/>
            <w:vAlign w:val="center"/>
          </w:tcPr>
          <w:p>
            <w:pPr>
              <w:spacing w:line="360" w:lineRule="auto"/>
              <w:jc w:val="center"/>
              <w:rPr>
                <w:rFonts w:hint="default" w:ascii="Times New Roman" w:hAnsi="Times New Roman" w:cs="Times New Roman"/>
                <w:sz w:val="22"/>
                <w:szCs w:val="22"/>
              </w:rPr>
            </w:pPr>
          </w:p>
        </w:tc>
        <w:tc>
          <w:tcPr>
            <w:tcW w:w="2552"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4-羟基苯甲酸甲酯</w:t>
            </w:r>
          </w:p>
        </w:tc>
        <w:tc>
          <w:tcPr>
            <w:tcW w:w="2268" w:type="dxa"/>
            <w:gridSpan w:val="2"/>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*151、92.1</w:t>
            </w:r>
          </w:p>
        </w:tc>
        <w:tc>
          <w:tcPr>
            <w:tcW w:w="1774" w:type="dxa"/>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0" w:hRule="atLeast"/>
          <w:jc w:val="center"/>
        </w:trPr>
        <w:tc>
          <w:tcPr>
            <w:tcW w:w="1408" w:type="dxa"/>
            <w:vMerge w:val="continue"/>
            <w:vAlign w:val="center"/>
          </w:tcPr>
          <w:p>
            <w:pPr>
              <w:spacing w:line="360" w:lineRule="auto"/>
              <w:rPr>
                <w:rFonts w:hint="default" w:ascii="Times New Roman" w:hAnsi="Times New Roman" w:cs="Times New Roman"/>
                <w:sz w:val="22"/>
                <w:szCs w:val="22"/>
              </w:rPr>
            </w:pPr>
          </w:p>
        </w:tc>
        <w:tc>
          <w:tcPr>
            <w:tcW w:w="1417" w:type="dxa"/>
            <w:vMerge w:val="continue"/>
            <w:vAlign w:val="center"/>
          </w:tcPr>
          <w:p>
            <w:pPr>
              <w:spacing w:line="360" w:lineRule="auto"/>
              <w:jc w:val="center"/>
              <w:rPr>
                <w:rFonts w:hint="default" w:ascii="Times New Roman" w:hAnsi="Times New Roman" w:cs="Times New Roman"/>
                <w:sz w:val="22"/>
                <w:szCs w:val="22"/>
              </w:rPr>
            </w:pPr>
          </w:p>
        </w:tc>
        <w:tc>
          <w:tcPr>
            <w:tcW w:w="2552"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4-羟基苯甲酸丁酯</w:t>
            </w:r>
          </w:p>
        </w:tc>
        <w:tc>
          <w:tcPr>
            <w:tcW w:w="2268" w:type="dxa"/>
            <w:gridSpan w:val="2"/>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*193、92.1</w:t>
            </w:r>
          </w:p>
        </w:tc>
        <w:tc>
          <w:tcPr>
            <w:tcW w:w="1774" w:type="dxa"/>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115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0" w:hRule="atLeast"/>
          <w:jc w:val="center"/>
        </w:trPr>
        <w:tc>
          <w:tcPr>
            <w:tcW w:w="1408" w:type="dxa"/>
            <w:vMerge w:val="continue"/>
            <w:vAlign w:val="center"/>
          </w:tcPr>
          <w:p>
            <w:pPr>
              <w:spacing w:line="360" w:lineRule="auto"/>
              <w:rPr>
                <w:rFonts w:hint="default" w:ascii="Times New Roman" w:hAnsi="Times New Roman" w:cs="Times New Roman"/>
                <w:sz w:val="22"/>
                <w:szCs w:val="22"/>
              </w:rPr>
            </w:pPr>
          </w:p>
        </w:tc>
        <w:tc>
          <w:tcPr>
            <w:tcW w:w="1417" w:type="dxa"/>
            <w:vMerge w:val="continue"/>
            <w:vAlign w:val="center"/>
          </w:tcPr>
          <w:p>
            <w:pPr>
              <w:spacing w:line="360" w:lineRule="auto"/>
              <w:jc w:val="center"/>
              <w:rPr>
                <w:rFonts w:hint="default" w:ascii="Times New Roman" w:hAnsi="Times New Roman" w:cs="Times New Roman"/>
                <w:sz w:val="22"/>
                <w:szCs w:val="22"/>
              </w:rPr>
            </w:pPr>
          </w:p>
        </w:tc>
        <w:tc>
          <w:tcPr>
            <w:tcW w:w="2552"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4-羟基苯甲酸丙酯</w:t>
            </w:r>
          </w:p>
        </w:tc>
        <w:tc>
          <w:tcPr>
            <w:tcW w:w="2268" w:type="dxa"/>
            <w:gridSpan w:val="2"/>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*179、92.1</w:t>
            </w:r>
          </w:p>
        </w:tc>
        <w:tc>
          <w:tcPr>
            <w:tcW w:w="1774" w:type="dxa"/>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0" w:hRule="atLeast"/>
          <w:jc w:val="center"/>
        </w:trPr>
        <w:tc>
          <w:tcPr>
            <w:tcW w:w="1408" w:type="dxa"/>
            <w:vMerge w:val="continue"/>
            <w:vAlign w:val="center"/>
          </w:tcPr>
          <w:p>
            <w:pPr>
              <w:spacing w:line="360" w:lineRule="auto"/>
              <w:rPr>
                <w:rFonts w:hint="default" w:ascii="Times New Roman" w:hAnsi="Times New Roman" w:cs="Times New Roman"/>
                <w:sz w:val="22"/>
                <w:szCs w:val="22"/>
              </w:rPr>
            </w:pPr>
          </w:p>
        </w:tc>
        <w:tc>
          <w:tcPr>
            <w:tcW w:w="1417" w:type="dxa"/>
            <w:vMerge w:val="continue"/>
            <w:vAlign w:val="center"/>
          </w:tcPr>
          <w:p>
            <w:pPr>
              <w:spacing w:line="360" w:lineRule="auto"/>
              <w:jc w:val="center"/>
              <w:rPr>
                <w:rFonts w:hint="default" w:ascii="Times New Roman" w:hAnsi="Times New Roman" w:cs="Times New Roman"/>
                <w:sz w:val="22"/>
                <w:szCs w:val="22"/>
              </w:rPr>
            </w:pPr>
          </w:p>
        </w:tc>
        <w:tc>
          <w:tcPr>
            <w:tcW w:w="2552"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4-羟基苯甲酸乙酯</w:t>
            </w:r>
          </w:p>
        </w:tc>
        <w:tc>
          <w:tcPr>
            <w:tcW w:w="2268" w:type="dxa"/>
            <w:gridSpan w:val="2"/>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*165、92.1</w:t>
            </w:r>
          </w:p>
        </w:tc>
        <w:tc>
          <w:tcPr>
            <w:tcW w:w="1774" w:type="dxa"/>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105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0" w:hRule="atLeast"/>
          <w:jc w:val="center"/>
        </w:trPr>
        <w:tc>
          <w:tcPr>
            <w:tcW w:w="9419" w:type="dxa"/>
            <w:gridSpan w:val="6"/>
            <w:vAlign w:val="center"/>
          </w:tcPr>
          <w:p>
            <w:pPr>
              <w:pStyle w:val="11"/>
              <w:spacing w:line="360" w:lineRule="auto"/>
              <w:ind w:firstLine="0" w:firstLineChars="0"/>
              <w:rPr>
                <w:rFonts w:hint="default" w:ascii="Times New Roman" w:hAnsi="Times New Roman" w:cs="Times New Roman"/>
                <w:color w:val="000000"/>
                <w:sz w:val="22"/>
                <w:szCs w:val="22"/>
              </w:rPr>
            </w:pPr>
            <w:r>
              <w:rPr>
                <w:rFonts w:hint="default" w:ascii="Times New Roman" w:hAnsi="Times New Roman" w:cs="Times New Roman"/>
                <w:sz w:val="22"/>
                <w:szCs w:val="22"/>
              </w:rPr>
              <w:t>注：推荐标注*的特征离子作为定量离子。若该离子因样品内干扰物受到干扰，可选用其它特征离子用于定量。</w:t>
            </w:r>
          </w:p>
        </w:tc>
      </w:tr>
    </w:tbl>
    <w:p>
      <w:pPr>
        <w:pStyle w:val="5"/>
        <w:shd w:val="clear" w:color="auto" w:fill="FFFFFF"/>
        <w:spacing w:before="0" w:beforeAutospacing="0" w:after="0" w:afterAutospacing="0" w:line="360" w:lineRule="auto"/>
        <w:ind w:left="780" w:firstLine="480" w:firstLineChars="200"/>
        <w:rPr>
          <w:rFonts w:hint="default" w:ascii="Times New Roman" w:hAnsi="Times New Roman" w:cs="Times New Roman"/>
        </w:rPr>
      </w:pPr>
    </w:p>
    <w:p>
      <w:pPr>
        <w:pStyle w:val="5"/>
        <w:shd w:val="clear" w:color="auto" w:fill="FFFFFF"/>
        <w:spacing w:before="0" w:beforeAutospacing="0" w:after="0" w:afterAutospacing="0" w:line="360" w:lineRule="auto"/>
        <w:ind w:firstLine="480" w:firstLineChars="200"/>
        <w:rPr>
          <w:rFonts w:hint="default" w:ascii="Times New Roman" w:hAnsi="Times New Roman" w:cs="Times New Roman"/>
        </w:rPr>
      </w:pPr>
      <w:r>
        <w:rPr>
          <w:rFonts w:hint="default" w:ascii="Times New Roman" w:hAnsi="Times New Roman" w:cs="Times New Roman"/>
        </w:rPr>
        <w:t>色谱柱用常用的C18柱，和《化妆品安全技术规范》（2015年版）4.7类似；流动性用常用的甲醇-水体系，优化后的洗脱梯度1能较好的分离大多数目标物；若4-羟基苯甲酸丁酯和4-羟基苯甲酸异丁酯为阳性时，再采用更平缓的梯度2分离这两个同分异构体。</w:t>
      </w:r>
    </w:p>
    <w:p>
      <w:pPr>
        <w:spacing w:line="360" w:lineRule="auto"/>
        <w:ind w:right="22" w:firstLine="440" w:firstLineChars="200"/>
        <w:jc w:val="center"/>
        <w:rPr>
          <w:rFonts w:hint="default" w:ascii="Times New Roman" w:hAnsi="Times New Roman" w:cs="Times New Roman"/>
          <w:sz w:val="22"/>
          <w:szCs w:val="22"/>
        </w:rPr>
      </w:pPr>
      <w:r>
        <w:rPr>
          <w:rFonts w:hint="default" w:ascii="Times New Roman" w:hAnsi="Times New Roman" w:cs="Times New Roman"/>
          <w:sz w:val="22"/>
          <w:szCs w:val="22"/>
        </w:rPr>
        <w:t>表8. 液相色谱分析条件参考（梯度1）</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256"/>
        <w:gridCol w:w="1559"/>
        <w:gridCol w:w="2977"/>
        <w:gridCol w:w="335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4" w:hRule="atLeast"/>
          <w:jc w:val="center"/>
        </w:trPr>
        <w:tc>
          <w:tcPr>
            <w:tcW w:w="1256" w:type="dxa"/>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sz w:val="22"/>
                <w:szCs w:val="22"/>
              </w:rPr>
              <w:t>液相柱</w:t>
            </w:r>
          </w:p>
        </w:tc>
        <w:tc>
          <w:tcPr>
            <w:tcW w:w="7893" w:type="dxa"/>
            <w:gridSpan w:val="3"/>
            <w:vAlign w:val="center"/>
          </w:tcPr>
          <w:p>
            <w:pPr>
              <w:spacing w:line="360" w:lineRule="auto"/>
              <w:jc w:val="center"/>
              <w:rPr>
                <w:rFonts w:hint="default" w:ascii="Times New Roman" w:hAnsi="Times New Roman" w:cs="Times New Roman"/>
                <w:color w:val="000000"/>
                <w:sz w:val="22"/>
                <w:szCs w:val="22"/>
                <w:lang w:val="pt-BR"/>
              </w:rPr>
            </w:pPr>
            <w:bookmarkStart w:id="9" w:name="OLE_LINK9"/>
            <w:r>
              <w:rPr>
                <w:rFonts w:hint="default" w:ascii="Times New Roman" w:hAnsi="Times New Roman" w:cs="Times New Roman"/>
                <w:color w:val="000000"/>
                <w:sz w:val="22"/>
                <w:szCs w:val="22"/>
                <w:lang w:val="pt-BR"/>
              </w:rPr>
              <w:t>Zorbax</w:t>
            </w:r>
            <w:bookmarkEnd w:id="9"/>
            <w:r>
              <w:rPr>
                <w:rFonts w:hint="default" w:ascii="Times New Roman" w:hAnsi="Times New Roman" w:cs="Times New Roman"/>
                <w:color w:val="000000"/>
                <w:sz w:val="22"/>
                <w:szCs w:val="22"/>
                <w:lang w:val="pt-BR"/>
              </w:rPr>
              <w:t xml:space="preserve"> SB-C18  2.1 mm ×150 mm ，</w:t>
            </w:r>
            <w:r>
              <w:rPr>
                <w:rFonts w:hint="default" w:ascii="Times New Roman" w:hAnsi="Times New Roman" w:cs="Times New Roman"/>
                <w:color w:val="000000"/>
                <w:sz w:val="22"/>
                <w:szCs w:val="22"/>
              </w:rPr>
              <w:t>粒径</w:t>
            </w:r>
            <w:r>
              <w:rPr>
                <w:rFonts w:hint="default" w:ascii="Times New Roman" w:hAnsi="Times New Roman" w:cs="Times New Roman"/>
                <w:color w:val="000000"/>
                <w:sz w:val="22"/>
                <w:szCs w:val="22"/>
                <w:lang w:val="pt-BR"/>
              </w:rPr>
              <w:t>3.5 μm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4" w:hRule="atLeast"/>
          <w:jc w:val="center"/>
        </w:trPr>
        <w:tc>
          <w:tcPr>
            <w:tcW w:w="1256" w:type="dxa"/>
            <w:vMerge w:val="restart"/>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sz w:val="22"/>
                <w:szCs w:val="22"/>
              </w:rPr>
              <w:t>流动相</w:t>
            </w:r>
          </w:p>
        </w:tc>
        <w:tc>
          <w:tcPr>
            <w:tcW w:w="1559"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时间（min）</w:t>
            </w:r>
          </w:p>
        </w:tc>
        <w:tc>
          <w:tcPr>
            <w:tcW w:w="2977" w:type="dxa"/>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sz w:val="22"/>
                <w:szCs w:val="22"/>
              </w:rPr>
              <w:t>甲醇</w:t>
            </w:r>
            <w:r>
              <w:rPr>
                <w:rFonts w:hint="default" w:ascii="Times New Roman" w:hAnsi="Times New Roman" w:cs="Times New Roman"/>
                <w:color w:val="000000"/>
                <w:sz w:val="22"/>
                <w:szCs w:val="22"/>
              </w:rPr>
              <w:t>（%）</w:t>
            </w:r>
          </w:p>
        </w:tc>
        <w:tc>
          <w:tcPr>
            <w:tcW w:w="3357" w:type="dxa"/>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4" w:hRule="atLeast"/>
          <w:jc w:val="center"/>
        </w:trPr>
        <w:tc>
          <w:tcPr>
            <w:tcW w:w="1256" w:type="dxa"/>
            <w:vMerge w:val="continue"/>
          </w:tcPr>
          <w:p>
            <w:pPr>
              <w:spacing w:line="360" w:lineRule="auto"/>
              <w:rPr>
                <w:rFonts w:hint="default" w:ascii="Times New Roman" w:hAnsi="Times New Roman" w:cs="Times New Roman"/>
                <w:sz w:val="22"/>
                <w:szCs w:val="22"/>
              </w:rPr>
            </w:pPr>
          </w:p>
        </w:tc>
        <w:tc>
          <w:tcPr>
            <w:tcW w:w="1559"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0.0</w:t>
            </w:r>
          </w:p>
        </w:tc>
        <w:tc>
          <w:tcPr>
            <w:tcW w:w="2977"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20</w:t>
            </w:r>
          </w:p>
        </w:tc>
        <w:tc>
          <w:tcPr>
            <w:tcW w:w="3357"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80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4" w:hRule="atLeast"/>
          <w:jc w:val="center"/>
        </w:trPr>
        <w:tc>
          <w:tcPr>
            <w:tcW w:w="1256" w:type="dxa"/>
            <w:vMerge w:val="continue"/>
          </w:tcPr>
          <w:p>
            <w:pPr>
              <w:spacing w:line="360" w:lineRule="auto"/>
              <w:rPr>
                <w:rFonts w:hint="default" w:ascii="Times New Roman" w:hAnsi="Times New Roman" w:cs="Times New Roman"/>
                <w:sz w:val="22"/>
                <w:szCs w:val="22"/>
              </w:rPr>
            </w:pPr>
          </w:p>
        </w:tc>
        <w:tc>
          <w:tcPr>
            <w:tcW w:w="1559"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2.0</w:t>
            </w:r>
          </w:p>
        </w:tc>
        <w:tc>
          <w:tcPr>
            <w:tcW w:w="2977"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20</w:t>
            </w:r>
          </w:p>
        </w:tc>
        <w:tc>
          <w:tcPr>
            <w:tcW w:w="3357"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80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4" w:hRule="atLeast"/>
          <w:jc w:val="center"/>
        </w:trPr>
        <w:tc>
          <w:tcPr>
            <w:tcW w:w="1256" w:type="dxa"/>
            <w:vMerge w:val="continue"/>
          </w:tcPr>
          <w:p>
            <w:pPr>
              <w:spacing w:line="360" w:lineRule="auto"/>
              <w:rPr>
                <w:rFonts w:hint="default" w:ascii="Times New Roman" w:hAnsi="Times New Roman" w:cs="Times New Roman"/>
                <w:sz w:val="22"/>
                <w:szCs w:val="22"/>
              </w:rPr>
            </w:pPr>
          </w:p>
        </w:tc>
        <w:tc>
          <w:tcPr>
            <w:tcW w:w="1559"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3.0</w:t>
            </w:r>
          </w:p>
        </w:tc>
        <w:tc>
          <w:tcPr>
            <w:tcW w:w="2977"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50</w:t>
            </w:r>
          </w:p>
        </w:tc>
        <w:tc>
          <w:tcPr>
            <w:tcW w:w="3357"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50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4" w:hRule="atLeast"/>
          <w:jc w:val="center"/>
        </w:trPr>
        <w:tc>
          <w:tcPr>
            <w:tcW w:w="1256" w:type="dxa"/>
            <w:vMerge w:val="continue"/>
          </w:tcPr>
          <w:p>
            <w:pPr>
              <w:spacing w:line="360" w:lineRule="auto"/>
              <w:rPr>
                <w:rFonts w:hint="default" w:ascii="Times New Roman" w:hAnsi="Times New Roman" w:cs="Times New Roman"/>
                <w:sz w:val="22"/>
                <w:szCs w:val="22"/>
              </w:rPr>
            </w:pPr>
          </w:p>
        </w:tc>
        <w:tc>
          <w:tcPr>
            <w:tcW w:w="1559"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9.0</w:t>
            </w:r>
          </w:p>
        </w:tc>
        <w:tc>
          <w:tcPr>
            <w:tcW w:w="2977"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60</w:t>
            </w:r>
          </w:p>
        </w:tc>
        <w:tc>
          <w:tcPr>
            <w:tcW w:w="3357"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4" w:hRule="atLeast"/>
          <w:jc w:val="center"/>
        </w:trPr>
        <w:tc>
          <w:tcPr>
            <w:tcW w:w="1256" w:type="dxa"/>
            <w:vMerge w:val="continue"/>
          </w:tcPr>
          <w:p>
            <w:pPr>
              <w:spacing w:line="360" w:lineRule="auto"/>
              <w:rPr>
                <w:rFonts w:hint="default" w:ascii="Times New Roman" w:hAnsi="Times New Roman" w:cs="Times New Roman"/>
                <w:sz w:val="22"/>
                <w:szCs w:val="22"/>
              </w:rPr>
            </w:pPr>
          </w:p>
        </w:tc>
        <w:tc>
          <w:tcPr>
            <w:tcW w:w="1559"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14.0</w:t>
            </w:r>
          </w:p>
        </w:tc>
        <w:tc>
          <w:tcPr>
            <w:tcW w:w="2977"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60</w:t>
            </w:r>
          </w:p>
        </w:tc>
        <w:tc>
          <w:tcPr>
            <w:tcW w:w="3357"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4" w:hRule="atLeast"/>
          <w:jc w:val="center"/>
        </w:trPr>
        <w:tc>
          <w:tcPr>
            <w:tcW w:w="1256" w:type="dxa"/>
            <w:vMerge w:val="continue"/>
          </w:tcPr>
          <w:p>
            <w:pPr>
              <w:spacing w:line="360" w:lineRule="auto"/>
              <w:rPr>
                <w:rFonts w:hint="default" w:ascii="Times New Roman" w:hAnsi="Times New Roman" w:cs="Times New Roman"/>
                <w:sz w:val="22"/>
                <w:szCs w:val="22"/>
              </w:rPr>
            </w:pPr>
          </w:p>
        </w:tc>
        <w:tc>
          <w:tcPr>
            <w:tcW w:w="1559"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14.1</w:t>
            </w:r>
          </w:p>
        </w:tc>
        <w:tc>
          <w:tcPr>
            <w:tcW w:w="2977"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90</w:t>
            </w:r>
          </w:p>
        </w:tc>
        <w:tc>
          <w:tcPr>
            <w:tcW w:w="3357"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4" w:hRule="atLeast"/>
          <w:jc w:val="center"/>
        </w:trPr>
        <w:tc>
          <w:tcPr>
            <w:tcW w:w="1256" w:type="dxa"/>
            <w:vMerge w:val="continue"/>
          </w:tcPr>
          <w:p>
            <w:pPr>
              <w:spacing w:line="360" w:lineRule="auto"/>
              <w:rPr>
                <w:rFonts w:hint="default" w:ascii="Times New Roman" w:hAnsi="Times New Roman" w:cs="Times New Roman"/>
                <w:sz w:val="22"/>
                <w:szCs w:val="22"/>
              </w:rPr>
            </w:pPr>
          </w:p>
        </w:tc>
        <w:tc>
          <w:tcPr>
            <w:tcW w:w="1559"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19.0</w:t>
            </w:r>
          </w:p>
        </w:tc>
        <w:tc>
          <w:tcPr>
            <w:tcW w:w="2977"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90</w:t>
            </w:r>
          </w:p>
        </w:tc>
        <w:tc>
          <w:tcPr>
            <w:tcW w:w="3357"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4" w:hRule="atLeast"/>
          <w:jc w:val="center"/>
        </w:trPr>
        <w:tc>
          <w:tcPr>
            <w:tcW w:w="1256" w:type="dxa"/>
            <w:vMerge w:val="continue"/>
          </w:tcPr>
          <w:p>
            <w:pPr>
              <w:spacing w:line="360" w:lineRule="auto"/>
              <w:rPr>
                <w:rFonts w:hint="default" w:ascii="Times New Roman" w:hAnsi="Times New Roman" w:cs="Times New Roman"/>
                <w:sz w:val="22"/>
                <w:szCs w:val="22"/>
              </w:rPr>
            </w:pPr>
          </w:p>
        </w:tc>
        <w:tc>
          <w:tcPr>
            <w:tcW w:w="1559"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19.1</w:t>
            </w:r>
          </w:p>
        </w:tc>
        <w:tc>
          <w:tcPr>
            <w:tcW w:w="2977"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20</w:t>
            </w:r>
          </w:p>
        </w:tc>
        <w:tc>
          <w:tcPr>
            <w:tcW w:w="3357"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80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4" w:hRule="atLeast"/>
          <w:jc w:val="center"/>
        </w:trPr>
        <w:tc>
          <w:tcPr>
            <w:tcW w:w="1256" w:type="dxa"/>
            <w:vMerge w:val="continue"/>
          </w:tcPr>
          <w:p>
            <w:pPr>
              <w:spacing w:line="360" w:lineRule="auto"/>
              <w:rPr>
                <w:rFonts w:hint="default" w:ascii="Times New Roman" w:hAnsi="Times New Roman" w:cs="Times New Roman"/>
                <w:sz w:val="22"/>
                <w:szCs w:val="22"/>
              </w:rPr>
            </w:pPr>
          </w:p>
        </w:tc>
        <w:tc>
          <w:tcPr>
            <w:tcW w:w="1559"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25.0</w:t>
            </w:r>
          </w:p>
        </w:tc>
        <w:tc>
          <w:tcPr>
            <w:tcW w:w="2977"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20</w:t>
            </w:r>
          </w:p>
        </w:tc>
        <w:tc>
          <w:tcPr>
            <w:tcW w:w="3357"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80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4" w:hRule="atLeast"/>
          <w:jc w:val="center"/>
        </w:trPr>
        <w:tc>
          <w:tcPr>
            <w:tcW w:w="1256" w:type="dxa"/>
            <w:vAlign w:val="center"/>
          </w:tcPr>
          <w:p>
            <w:pPr>
              <w:spacing w:line="360" w:lineRule="auto"/>
              <w:rPr>
                <w:rFonts w:hint="default" w:ascii="Times New Roman" w:hAnsi="Times New Roman" w:cs="Times New Roman"/>
                <w:sz w:val="22"/>
                <w:szCs w:val="22"/>
              </w:rPr>
            </w:pPr>
            <w:r>
              <w:rPr>
                <w:rFonts w:hint="default" w:ascii="Times New Roman" w:hAnsi="Times New Roman" w:cs="Times New Roman"/>
                <w:sz w:val="22"/>
                <w:szCs w:val="22"/>
              </w:rPr>
              <w:t>柱流速</w:t>
            </w:r>
          </w:p>
        </w:tc>
        <w:tc>
          <w:tcPr>
            <w:tcW w:w="7893" w:type="dxa"/>
            <w:gridSpan w:val="3"/>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0.3 mL/min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4" w:hRule="atLeast"/>
          <w:jc w:val="center"/>
        </w:trPr>
        <w:tc>
          <w:tcPr>
            <w:tcW w:w="1256" w:type="dxa"/>
            <w:vAlign w:val="center"/>
          </w:tcPr>
          <w:p>
            <w:pPr>
              <w:spacing w:line="360" w:lineRule="auto"/>
              <w:rPr>
                <w:rFonts w:hint="default" w:ascii="Times New Roman" w:hAnsi="Times New Roman" w:cs="Times New Roman"/>
                <w:color w:val="000000"/>
                <w:sz w:val="22"/>
                <w:szCs w:val="22"/>
              </w:rPr>
            </w:pPr>
            <w:r>
              <w:rPr>
                <w:rFonts w:hint="default" w:ascii="Times New Roman" w:hAnsi="Times New Roman" w:cs="Times New Roman"/>
                <w:sz w:val="22"/>
                <w:szCs w:val="22"/>
              </w:rPr>
              <w:t>进样体积</w:t>
            </w:r>
          </w:p>
        </w:tc>
        <w:tc>
          <w:tcPr>
            <w:tcW w:w="7893" w:type="dxa"/>
            <w:gridSpan w:val="3"/>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 xml:space="preserve">5 </w:t>
            </w:r>
            <w:r>
              <w:rPr>
                <w:rFonts w:hint="default" w:ascii="Times New Roman" w:hAnsi="Times New Roman" w:cs="Times New Roman"/>
                <w:color w:val="000000"/>
                <w:sz w:val="22"/>
                <w:szCs w:val="22"/>
                <w:lang w:val="pt-BR"/>
              </w:rPr>
              <w:t>μ</w:t>
            </w:r>
            <w:r>
              <w:rPr>
                <w:rFonts w:hint="default" w:ascii="Times New Roman" w:hAnsi="Times New Roman" w:cs="Times New Roman"/>
                <w:color w:val="000000"/>
                <w:sz w:val="22"/>
                <w:szCs w:val="22"/>
              </w:rPr>
              <w:t>L</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4" w:hRule="atLeast"/>
          <w:jc w:val="center"/>
        </w:trPr>
        <w:tc>
          <w:tcPr>
            <w:tcW w:w="1256" w:type="dxa"/>
            <w:tcBorders>
              <w:bottom w:val="single" w:color="auto" w:sz="8" w:space="0"/>
            </w:tcBorders>
            <w:vAlign w:val="center"/>
          </w:tcPr>
          <w:p>
            <w:pPr>
              <w:spacing w:line="360" w:lineRule="auto"/>
              <w:rPr>
                <w:rFonts w:hint="default" w:ascii="Times New Roman" w:hAnsi="Times New Roman" w:cs="Times New Roman"/>
                <w:color w:val="000000"/>
                <w:sz w:val="22"/>
                <w:szCs w:val="22"/>
              </w:rPr>
            </w:pPr>
            <w:r>
              <w:rPr>
                <w:rFonts w:hint="default" w:ascii="Times New Roman" w:hAnsi="Times New Roman" w:cs="Times New Roman"/>
                <w:sz w:val="22"/>
                <w:szCs w:val="22"/>
              </w:rPr>
              <w:t>柱温</w:t>
            </w:r>
          </w:p>
        </w:tc>
        <w:tc>
          <w:tcPr>
            <w:tcW w:w="7893" w:type="dxa"/>
            <w:gridSpan w:val="3"/>
            <w:tcBorders>
              <w:bottom w:val="single" w:color="auto" w:sz="8" w:space="0"/>
            </w:tcBorders>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 xml:space="preserve">30 </w:t>
            </w:r>
            <w:r>
              <w:rPr>
                <w:rFonts w:hint="default" w:ascii="Times New Roman" w:hAnsi="Times New Roman" w:eastAsia="微软雅黑" w:cs="Times New Roman"/>
                <w:color w:val="000000"/>
                <w:sz w:val="22"/>
                <w:szCs w:val="22"/>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4" w:hRule="atLeast"/>
          <w:jc w:val="center"/>
        </w:trPr>
        <w:tc>
          <w:tcPr>
            <w:tcW w:w="1256" w:type="dxa"/>
            <w:vAlign w:val="center"/>
          </w:tcPr>
          <w:p>
            <w:pPr>
              <w:spacing w:line="360" w:lineRule="auto"/>
              <w:rPr>
                <w:rFonts w:hint="default" w:ascii="Times New Roman" w:hAnsi="Times New Roman" w:cs="Times New Roman"/>
                <w:sz w:val="22"/>
                <w:szCs w:val="22"/>
              </w:rPr>
            </w:pPr>
            <w:r>
              <w:rPr>
                <w:rFonts w:hint="default" w:ascii="Times New Roman" w:hAnsi="Times New Roman" w:cs="Times New Roman"/>
                <w:sz w:val="22"/>
                <w:szCs w:val="22"/>
              </w:rPr>
              <w:t>运行时间</w:t>
            </w:r>
          </w:p>
        </w:tc>
        <w:tc>
          <w:tcPr>
            <w:tcW w:w="7893" w:type="dxa"/>
            <w:gridSpan w:val="3"/>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25 min</w:t>
            </w:r>
          </w:p>
        </w:tc>
      </w:tr>
    </w:tbl>
    <w:p>
      <w:pPr>
        <w:spacing w:line="360" w:lineRule="auto"/>
        <w:ind w:right="22" w:firstLine="440" w:firstLineChars="200"/>
        <w:jc w:val="center"/>
        <w:rPr>
          <w:rFonts w:hint="default" w:ascii="Times New Roman" w:hAnsi="Times New Roman" w:cs="Times New Roman"/>
          <w:sz w:val="22"/>
          <w:szCs w:val="22"/>
        </w:rPr>
      </w:pPr>
    </w:p>
    <w:p>
      <w:pPr>
        <w:spacing w:line="360" w:lineRule="auto"/>
        <w:ind w:right="22" w:firstLine="440" w:firstLineChars="200"/>
        <w:jc w:val="center"/>
        <w:rPr>
          <w:rFonts w:hint="default" w:ascii="Times New Roman" w:hAnsi="Times New Roman" w:cs="Times New Roman"/>
          <w:sz w:val="22"/>
          <w:szCs w:val="22"/>
        </w:rPr>
      </w:pPr>
      <w:r>
        <w:rPr>
          <w:rFonts w:hint="default" w:ascii="Times New Roman" w:hAnsi="Times New Roman" w:cs="Times New Roman"/>
          <w:sz w:val="22"/>
          <w:szCs w:val="22"/>
        </w:rPr>
        <w:t>表9. 液相色谱分析条件参考（梯度2）</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99"/>
        <w:gridCol w:w="1559"/>
        <w:gridCol w:w="2977"/>
        <w:gridCol w:w="351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4" w:hRule="atLeast"/>
          <w:jc w:val="center"/>
        </w:trPr>
        <w:tc>
          <w:tcPr>
            <w:tcW w:w="999" w:type="dxa"/>
            <w:vMerge w:val="restart"/>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sz w:val="22"/>
                <w:szCs w:val="22"/>
              </w:rPr>
              <w:t>流动相</w:t>
            </w:r>
          </w:p>
        </w:tc>
        <w:tc>
          <w:tcPr>
            <w:tcW w:w="1559"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时间（min）</w:t>
            </w:r>
          </w:p>
        </w:tc>
        <w:tc>
          <w:tcPr>
            <w:tcW w:w="2977" w:type="dxa"/>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sz w:val="22"/>
                <w:szCs w:val="22"/>
              </w:rPr>
              <w:t>甲醇</w:t>
            </w:r>
            <w:r>
              <w:rPr>
                <w:rFonts w:hint="default" w:ascii="Times New Roman" w:hAnsi="Times New Roman" w:cs="Times New Roman"/>
                <w:color w:val="000000"/>
                <w:sz w:val="22"/>
                <w:szCs w:val="22"/>
              </w:rPr>
              <w:t>（%）</w:t>
            </w:r>
          </w:p>
        </w:tc>
        <w:tc>
          <w:tcPr>
            <w:tcW w:w="3510" w:type="dxa"/>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4" w:hRule="atLeast"/>
          <w:jc w:val="center"/>
        </w:trPr>
        <w:tc>
          <w:tcPr>
            <w:tcW w:w="999" w:type="dxa"/>
            <w:vMerge w:val="continue"/>
          </w:tcPr>
          <w:p>
            <w:pPr>
              <w:spacing w:line="360" w:lineRule="auto"/>
              <w:rPr>
                <w:rFonts w:hint="default" w:ascii="Times New Roman" w:hAnsi="Times New Roman" w:cs="Times New Roman"/>
                <w:sz w:val="22"/>
                <w:szCs w:val="22"/>
              </w:rPr>
            </w:pPr>
          </w:p>
        </w:tc>
        <w:tc>
          <w:tcPr>
            <w:tcW w:w="1559"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0.0</w:t>
            </w:r>
          </w:p>
        </w:tc>
        <w:tc>
          <w:tcPr>
            <w:tcW w:w="2977"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50</w:t>
            </w:r>
          </w:p>
        </w:tc>
        <w:tc>
          <w:tcPr>
            <w:tcW w:w="3510"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50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4" w:hRule="atLeast"/>
          <w:jc w:val="center"/>
        </w:trPr>
        <w:tc>
          <w:tcPr>
            <w:tcW w:w="999" w:type="dxa"/>
            <w:vMerge w:val="continue"/>
          </w:tcPr>
          <w:p>
            <w:pPr>
              <w:spacing w:line="360" w:lineRule="auto"/>
              <w:rPr>
                <w:rFonts w:hint="default" w:ascii="Times New Roman" w:hAnsi="Times New Roman" w:cs="Times New Roman"/>
                <w:sz w:val="22"/>
                <w:szCs w:val="22"/>
              </w:rPr>
            </w:pPr>
          </w:p>
        </w:tc>
        <w:tc>
          <w:tcPr>
            <w:tcW w:w="1559"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10.0</w:t>
            </w:r>
          </w:p>
        </w:tc>
        <w:tc>
          <w:tcPr>
            <w:tcW w:w="2977"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50</w:t>
            </w:r>
          </w:p>
        </w:tc>
        <w:tc>
          <w:tcPr>
            <w:tcW w:w="3510"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50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4" w:hRule="atLeast"/>
          <w:jc w:val="center"/>
        </w:trPr>
        <w:tc>
          <w:tcPr>
            <w:tcW w:w="999" w:type="dxa"/>
            <w:vMerge w:val="continue"/>
          </w:tcPr>
          <w:p>
            <w:pPr>
              <w:spacing w:line="360" w:lineRule="auto"/>
              <w:rPr>
                <w:rFonts w:hint="default" w:ascii="Times New Roman" w:hAnsi="Times New Roman" w:cs="Times New Roman"/>
                <w:sz w:val="22"/>
                <w:szCs w:val="22"/>
              </w:rPr>
            </w:pPr>
          </w:p>
        </w:tc>
        <w:tc>
          <w:tcPr>
            <w:tcW w:w="1559"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15.0</w:t>
            </w:r>
          </w:p>
        </w:tc>
        <w:tc>
          <w:tcPr>
            <w:tcW w:w="2977"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80</w:t>
            </w:r>
          </w:p>
        </w:tc>
        <w:tc>
          <w:tcPr>
            <w:tcW w:w="3510"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4" w:hRule="atLeast"/>
          <w:jc w:val="center"/>
        </w:trPr>
        <w:tc>
          <w:tcPr>
            <w:tcW w:w="999" w:type="dxa"/>
            <w:vMerge w:val="continue"/>
          </w:tcPr>
          <w:p>
            <w:pPr>
              <w:spacing w:line="360" w:lineRule="auto"/>
              <w:rPr>
                <w:rFonts w:hint="default" w:ascii="Times New Roman" w:hAnsi="Times New Roman" w:cs="Times New Roman"/>
                <w:sz w:val="22"/>
                <w:szCs w:val="22"/>
              </w:rPr>
            </w:pPr>
          </w:p>
        </w:tc>
        <w:tc>
          <w:tcPr>
            <w:tcW w:w="1559"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20.0</w:t>
            </w:r>
          </w:p>
        </w:tc>
        <w:tc>
          <w:tcPr>
            <w:tcW w:w="2977"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80</w:t>
            </w:r>
          </w:p>
        </w:tc>
        <w:tc>
          <w:tcPr>
            <w:tcW w:w="3510"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20</w:t>
            </w:r>
          </w:p>
        </w:tc>
      </w:tr>
    </w:tbl>
    <w:p>
      <w:pPr>
        <w:pStyle w:val="5"/>
        <w:shd w:val="clear" w:color="auto" w:fill="FFFFFF"/>
        <w:spacing w:before="0" w:beforeAutospacing="0" w:after="0" w:afterAutospacing="0" w:line="360" w:lineRule="auto"/>
        <w:ind w:left="780" w:firstLine="480" w:firstLineChars="200"/>
        <w:rPr>
          <w:rFonts w:hint="default" w:ascii="Times New Roman" w:hAnsi="Times New Roman" w:cs="Times New Roman"/>
        </w:rPr>
      </w:pPr>
    </w:p>
    <w:p>
      <w:pPr>
        <w:spacing w:line="360" w:lineRule="auto"/>
        <w:jc w:val="center"/>
        <w:rPr>
          <w:rFonts w:hint="default" w:ascii="Times New Roman" w:hAnsi="Times New Roman" w:cs="Times New Roman"/>
          <w:b/>
        </w:rPr>
      </w:pPr>
      <w:r>
        <w:rPr>
          <w:rFonts w:hint="default" w:ascii="Times New Roman" w:hAnsi="Times New Roman" w:cs="Times New Roman"/>
          <w:b/>
        </w:rPr>
        <w:drawing>
          <wp:inline distT="0" distB="0" distL="0" distR="0">
            <wp:extent cx="6343015" cy="2760980"/>
            <wp:effectExtent l="0" t="0" r="0" b="0"/>
            <wp:docPr id="24" name="图片 5" descr="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5" descr="1-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343015" cy="2760980"/>
                    </a:xfrm>
                    <a:prstGeom prst="rect">
                      <a:avLst/>
                    </a:prstGeom>
                    <a:noFill/>
                    <a:ln>
                      <a:noFill/>
                    </a:ln>
                  </pic:spPr>
                </pic:pic>
              </a:graphicData>
            </a:graphic>
          </wp:inline>
        </w:drawing>
      </w:r>
    </w:p>
    <w:p>
      <w:pPr>
        <w:spacing w:line="360" w:lineRule="auto"/>
        <w:jc w:val="center"/>
        <w:rPr>
          <w:rFonts w:hint="default" w:ascii="Times New Roman" w:hAnsi="Times New Roman" w:cs="Times New Roman"/>
          <w:b/>
        </w:rPr>
      </w:pPr>
      <w:r>
        <w:rPr>
          <w:rFonts w:hint="default" w:ascii="Times New Roman" w:hAnsi="Times New Roman" w:cs="Times New Roman"/>
          <w:b/>
        </w:rPr>
        <w:drawing>
          <wp:inline distT="0" distB="0" distL="0" distR="0">
            <wp:extent cx="6279515" cy="1743075"/>
            <wp:effectExtent l="0" t="0" r="0" b="0"/>
            <wp:docPr id="23" name="Picture 40" descr="7-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40" descr="7-1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279515" cy="1743075"/>
                    </a:xfrm>
                    <a:prstGeom prst="rect">
                      <a:avLst/>
                    </a:prstGeom>
                    <a:noFill/>
                    <a:ln>
                      <a:noFill/>
                    </a:ln>
                  </pic:spPr>
                </pic:pic>
              </a:graphicData>
            </a:graphic>
          </wp:inline>
        </w:drawing>
      </w:r>
    </w:p>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图2. 10种4-羟基苯甲酸及其酯类标准物质的液相色谱图</w:t>
      </w:r>
    </w:p>
    <w:p>
      <w:pPr>
        <w:spacing w:line="360" w:lineRule="auto"/>
        <w:jc w:val="center"/>
        <w:rPr>
          <w:rFonts w:hint="default" w:ascii="Times New Roman" w:hAnsi="Times New Roman" w:cs="Times New Roman"/>
          <w:b/>
          <w:sz w:val="22"/>
          <w:szCs w:val="22"/>
        </w:rPr>
      </w:pPr>
    </w:p>
    <w:p>
      <w:pPr>
        <w:pStyle w:val="11"/>
        <w:widowControl w:val="0"/>
        <w:numPr>
          <w:ilvl w:val="0"/>
          <w:numId w:val="2"/>
        </w:numPr>
        <w:adjustRightInd w:val="0"/>
        <w:spacing w:line="360" w:lineRule="auto"/>
        <w:ind w:firstLineChars="0"/>
        <w:jc w:val="both"/>
        <w:textAlignment w:val="baseline"/>
        <w:rPr>
          <w:rFonts w:hint="default" w:ascii="Times New Roman" w:hAnsi="Times New Roman" w:cs="Times New Roman"/>
          <w:b/>
          <w:bCs/>
          <w:szCs w:val="21"/>
        </w:rPr>
      </w:pPr>
      <w:r>
        <w:rPr>
          <w:rFonts w:hint="default" w:ascii="Times New Roman" w:hAnsi="Times New Roman" w:cs="Times New Roman"/>
          <w:b/>
          <w:bCs/>
          <w:szCs w:val="21"/>
        </w:rPr>
        <w:t>主要验证情况分析</w:t>
      </w:r>
    </w:p>
    <w:p>
      <w:pPr>
        <w:pStyle w:val="5"/>
        <w:numPr>
          <w:ilvl w:val="0"/>
          <w:numId w:val="6"/>
        </w:numPr>
        <w:shd w:val="clear" w:color="auto" w:fill="FFFFFF"/>
        <w:spacing w:before="0" w:beforeAutospacing="0" w:after="0" w:afterAutospacing="0" w:line="360" w:lineRule="auto"/>
        <w:rPr>
          <w:rFonts w:hint="default" w:ascii="Times New Roman" w:hAnsi="Times New Roman" w:cs="Times New Roman"/>
          <w:b/>
          <w:bCs/>
        </w:rPr>
      </w:pPr>
      <w:r>
        <w:rPr>
          <w:rFonts w:hint="default" w:ascii="Times New Roman" w:hAnsi="Times New Roman" w:cs="Times New Roman"/>
          <w:b/>
          <w:bCs/>
        </w:rPr>
        <w:t>线性关系，检出限和定量限</w:t>
      </w:r>
    </w:p>
    <w:p>
      <w:pPr>
        <w:pStyle w:val="5"/>
        <w:shd w:val="clear" w:color="auto" w:fill="FFFFFF"/>
        <w:spacing w:before="0" w:beforeAutospacing="0" w:after="0" w:afterAutospacing="0" w:line="360" w:lineRule="auto"/>
        <w:ind w:firstLine="566" w:firstLineChars="236"/>
        <w:rPr>
          <w:rFonts w:hint="default" w:ascii="Times New Roman" w:hAnsi="Times New Roman" w:cs="Times New Roman"/>
          <w:szCs w:val="21"/>
        </w:rPr>
      </w:pPr>
      <w:r>
        <w:rPr>
          <w:rFonts w:hint="default" w:ascii="Times New Roman" w:hAnsi="Times New Roman" w:cs="Times New Roman"/>
        </w:rPr>
        <w:t>配置标准曲线浓度如下表，按优化的仪器条件进行分析，浓度和响应信号作</w:t>
      </w:r>
      <w:r>
        <w:rPr>
          <w:rFonts w:hint="default" w:ascii="Times New Roman" w:hAnsi="Times New Roman" w:cs="Times New Roman"/>
        </w:rPr>
        <w:t>回归</w:t>
      </w:r>
      <w:r>
        <w:rPr>
          <w:rFonts w:hint="default" w:ascii="Times New Roman" w:hAnsi="Times New Roman" w:cs="Times New Roman"/>
          <w:szCs w:val="21"/>
        </w:rPr>
        <w:t>线性方程，线性系数R &gt; 0.995。</w:t>
      </w:r>
    </w:p>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表10. 各浓度水平下标准物质最终浓度表(mg/L</w:t>
      </w:r>
      <w:r>
        <w:rPr>
          <w:rFonts w:hint="default" w:ascii="Times New Roman" w:hAnsi="Times New Roman" w:cs="Times New Roman"/>
          <w:sz w:val="22"/>
          <w:szCs w:val="22"/>
        </w:rPr>
        <w:t>)</w:t>
      </w:r>
    </w:p>
    <w:tbl>
      <w:tblPr>
        <w:tblStyle w:val="6"/>
        <w:tblpPr w:leftFromText="180" w:rightFromText="180" w:vertAnchor="text" w:horzAnchor="margin" w:tblpXSpec="center" w:tblpY="1"/>
        <w:tblOverlap w:val="never"/>
        <w:tblW w:w="93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4"/>
        <w:gridCol w:w="2644"/>
        <w:gridCol w:w="1014"/>
        <w:gridCol w:w="1014"/>
        <w:gridCol w:w="1014"/>
        <w:gridCol w:w="976"/>
        <w:gridCol w:w="1014"/>
        <w:gridCol w:w="10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704" w:type="dxa"/>
            <w:vAlign w:val="center"/>
          </w:tcPr>
          <w:p>
            <w:pPr>
              <w:spacing w:line="360" w:lineRule="auto"/>
              <w:jc w:val="center"/>
              <w:rPr>
                <w:rFonts w:hint="default" w:ascii="Times New Roman" w:hAnsi="Times New Roman" w:cs="Times New Roman"/>
                <w:b/>
                <w:bCs/>
                <w:sz w:val="22"/>
                <w:szCs w:val="22"/>
              </w:rPr>
            </w:pPr>
            <w:r>
              <w:rPr>
                <w:rFonts w:hint="default" w:ascii="Times New Roman" w:hAnsi="Times New Roman" w:cs="Times New Roman"/>
                <w:b/>
                <w:bCs/>
                <w:sz w:val="22"/>
                <w:szCs w:val="22"/>
              </w:rPr>
              <w:t>序号</w:t>
            </w:r>
          </w:p>
        </w:tc>
        <w:tc>
          <w:tcPr>
            <w:tcW w:w="2644" w:type="dxa"/>
            <w:vAlign w:val="center"/>
          </w:tcPr>
          <w:p>
            <w:pPr>
              <w:spacing w:line="360" w:lineRule="auto"/>
              <w:rPr>
                <w:rFonts w:hint="default" w:ascii="Times New Roman" w:hAnsi="Times New Roman" w:cs="Times New Roman"/>
                <w:b/>
                <w:bCs/>
                <w:sz w:val="22"/>
                <w:szCs w:val="22"/>
              </w:rPr>
            </w:pPr>
            <w:r>
              <w:rPr>
                <w:rFonts w:hint="default" w:ascii="Times New Roman" w:hAnsi="Times New Roman" w:cs="Times New Roman"/>
                <w:b/>
                <w:bCs/>
                <w:sz w:val="22"/>
                <w:szCs w:val="22"/>
              </w:rPr>
              <w:t>标准物质名称</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b/>
                <w:bCs/>
                <w:sz w:val="22"/>
                <w:szCs w:val="22"/>
              </w:rPr>
            </w:pPr>
            <w:r>
              <w:rPr>
                <w:rFonts w:hint="default" w:ascii="Times New Roman" w:hAnsi="Times New Roman" w:cs="Times New Roman"/>
                <w:b/>
                <w:bCs/>
                <w:sz w:val="22"/>
                <w:szCs w:val="22"/>
              </w:rPr>
              <w:t>浓度1</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b/>
                <w:bCs/>
                <w:sz w:val="22"/>
                <w:szCs w:val="22"/>
              </w:rPr>
            </w:pPr>
            <w:r>
              <w:rPr>
                <w:rFonts w:hint="default" w:ascii="Times New Roman" w:hAnsi="Times New Roman" w:cs="Times New Roman"/>
                <w:b/>
                <w:bCs/>
                <w:sz w:val="22"/>
                <w:szCs w:val="22"/>
              </w:rPr>
              <w:t>浓度2</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b/>
                <w:bCs/>
                <w:sz w:val="22"/>
                <w:szCs w:val="22"/>
              </w:rPr>
            </w:pPr>
            <w:r>
              <w:rPr>
                <w:rFonts w:hint="default" w:ascii="Times New Roman" w:hAnsi="Times New Roman" w:cs="Times New Roman"/>
                <w:b/>
                <w:bCs/>
                <w:sz w:val="22"/>
                <w:szCs w:val="22"/>
              </w:rPr>
              <w:t>浓度3</w:t>
            </w:r>
          </w:p>
        </w:tc>
        <w:tc>
          <w:tcPr>
            <w:tcW w:w="976" w:type="dxa"/>
            <w:vAlign w:val="center"/>
          </w:tcPr>
          <w:p>
            <w:pPr>
              <w:pStyle w:val="11"/>
              <w:widowControl w:val="0"/>
              <w:spacing w:line="360" w:lineRule="auto"/>
              <w:ind w:firstLine="0" w:firstLineChars="0"/>
              <w:jc w:val="center"/>
              <w:rPr>
                <w:rFonts w:hint="default" w:ascii="Times New Roman" w:hAnsi="Times New Roman" w:cs="Times New Roman"/>
                <w:b/>
                <w:bCs/>
                <w:sz w:val="22"/>
                <w:szCs w:val="22"/>
              </w:rPr>
            </w:pPr>
            <w:r>
              <w:rPr>
                <w:rFonts w:hint="default" w:ascii="Times New Roman" w:hAnsi="Times New Roman" w:cs="Times New Roman"/>
                <w:b/>
                <w:bCs/>
                <w:sz w:val="22"/>
                <w:szCs w:val="22"/>
              </w:rPr>
              <w:t>浓度4</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b/>
                <w:bCs/>
                <w:sz w:val="22"/>
                <w:szCs w:val="22"/>
              </w:rPr>
            </w:pPr>
            <w:r>
              <w:rPr>
                <w:rFonts w:hint="default" w:ascii="Times New Roman" w:hAnsi="Times New Roman" w:cs="Times New Roman"/>
                <w:b/>
                <w:bCs/>
                <w:sz w:val="22"/>
                <w:szCs w:val="22"/>
              </w:rPr>
              <w:t>浓度5</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b/>
                <w:bCs/>
                <w:sz w:val="22"/>
                <w:szCs w:val="22"/>
              </w:rPr>
            </w:pPr>
            <w:r>
              <w:rPr>
                <w:rFonts w:hint="default" w:ascii="Times New Roman" w:hAnsi="Times New Roman" w:cs="Times New Roman"/>
                <w:b/>
                <w:bCs/>
                <w:sz w:val="22"/>
                <w:szCs w:val="22"/>
              </w:rPr>
              <w:t>浓度6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04"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1</w:t>
            </w:r>
          </w:p>
        </w:tc>
        <w:tc>
          <w:tcPr>
            <w:tcW w:w="2644" w:type="dxa"/>
            <w:vAlign w:val="center"/>
          </w:tcPr>
          <w:p>
            <w:pPr>
              <w:spacing w:line="360" w:lineRule="auto"/>
              <w:rPr>
                <w:rFonts w:hint="default" w:ascii="Times New Roman" w:hAnsi="Times New Roman" w:cs="Times New Roman"/>
                <w:sz w:val="22"/>
                <w:szCs w:val="22"/>
              </w:rPr>
            </w:pPr>
            <w:r>
              <w:rPr>
                <w:rFonts w:hint="default" w:ascii="Times New Roman" w:hAnsi="Times New Roman" w:cs="Times New Roman"/>
                <w:sz w:val="22"/>
                <w:szCs w:val="22"/>
              </w:rPr>
              <w:t>4-羟基苯甲酸异丙酯</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0.02</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0.08</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0.16</w:t>
            </w:r>
          </w:p>
        </w:tc>
        <w:tc>
          <w:tcPr>
            <w:tcW w:w="976"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0.2</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0.3</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04"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2</w:t>
            </w:r>
          </w:p>
        </w:tc>
        <w:tc>
          <w:tcPr>
            <w:tcW w:w="2644" w:type="dxa"/>
            <w:vAlign w:val="center"/>
          </w:tcPr>
          <w:p>
            <w:pPr>
              <w:spacing w:line="360" w:lineRule="auto"/>
              <w:rPr>
                <w:rFonts w:hint="default" w:ascii="Times New Roman" w:hAnsi="Times New Roman" w:cs="Times New Roman"/>
                <w:sz w:val="22"/>
                <w:szCs w:val="22"/>
              </w:rPr>
            </w:pPr>
            <w:r>
              <w:rPr>
                <w:rFonts w:hint="default" w:ascii="Times New Roman" w:hAnsi="Times New Roman" w:cs="Times New Roman"/>
                <w:sz w:val="22"/>
                <w:szCs w:val="22"/>
              </w:rPr>
              <w:t>4-羟基苯甲酸异丁酯</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0.02</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0.08</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0.16</w:t>
            </w:r>
          </w:p>
        </w:tc>
        <w:tc>
          <w:tcPr>
            <w:tcW w:w="976"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0.2</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0.3</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04"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3</w:t>
            </w:r>
          </w:p>
        </w:tc>
        <w:tc>
          <w:tcPr>
            <w:tcW w:w="2644" w:type="dxa"/>
            <w:vAlign w:val="center"/>
          </w:tcPr>
          <w:p>
            <w:pPr>
              <w:spacing w:line="360" w:lineRule="auto"/>
              <w:rPr>
                <w:rFonts w:hint="default" w:ascii="Times New Roman" w:hAnsi="Times New Roman" w:cs="Times New Roman"/>
                <w:sz w:val="22"/>
                <w:szCs w:val="22"/>
              </w:rPr>
            </w:pPr>
            <w:r>
              <w:rPr>
                <w:rFonts w:hint="default" w:ascii="Times New Roman" w:hAnsi="Times New Roman" w:cs="Times New Roman"/>
                <w:sz w:val="22"/>
                <w:szCs w:val="22"/>
              </w:rPr>
              <w:t>4-羟基苯甲酸苯酯</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0.02</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0.08</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0.16</w:t>
            </w:r>
          </w:p>
        </w:tc>
        <w:tc>
          <w:tcPr>
            <w:tcW w:w="976"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0.2</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0.3</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04"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4</w:t>
            </w:r>
          </w:p>
        </w:tc>
        <w:tc>
          <w:tcPr>
            <w:tcW w:w="2644" w:type="dxa"/>
            <w:vAlign w:val="center"/>
          </w:tcPr>
          <w:p>
            <w:pPr>
              <w:spacing w:line="360" w:lineRule="auto"/>
              <w:rPr>
                <w:rFonts w:hint="default" w:ascii="Times New Roman" w:hAnsi="Times New Roman" w:cs="Times New Roman"/>
                <w:sz w:val="22"/>
                <w:szCs w:val="22"/>
              </w:rPr>
            </w:pPr>
            <w:r>
              <w:rPr>
                <w:rFonts w:hint="default" w:ascii="Times New Roman" w:hAnsi="Times New Roman" w:cs="Times New Roman"/>
                <w:sz w:val="22"/>
                <w:szCs w:val="22"/>
              </w:rPr>
              <w:t>4-羟基苯甲酸苯甲酯</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0.02</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0.08</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0.16</w:t>
            </w:r>
          </w:p>
        </w:tc>
        <w:tc>
          <w:tcPr>
            <w:tcW w:w="976"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0.2</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0.3</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04"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5</w:t>
            </w:r>
          </w:p>
        </w:tc>
        <w:tc>
          <w:tcPr>
            <w:tcW w:w="2644" w:type="dxa"/>
            <w:vAlign w:val="center"/>
          </w:tcPr>
          <w:p>
            <w:pPr>
              <w:spacing w:line="360" w:lineRule="auto"/>
              <w:rPr>
                <w:rFonts w:hint="default" w:ascii="Times New Roman" w:hAnsi="Times New Roman" w:cs="Times New Roman"/>
                <w:sz w:val="22"/>
                <w:szCs w:val="22"/>
              </w:rPr>
            </w:pPr>
            <w:r>
              <w:rPr>
                <w:rFonts w:hint="default" w:ascii="Times New Roman" w:hAnsi="Times New Roman" w:cs="Times New Roman"/>
                <w:sz w:val="22"/>
                <w:szCs w:val="22"/>
              </w:rPr>
              <w:t>4-羟基苯甲酸正戊酯</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0.02</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0.08</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0.16</w:t>
            </w:r>
          </w:p>
        </w:tc>
        <w:tc>
          <w:tcPr>
            <w:tcW w:w="976"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0.2</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0.3</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04"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6</w:t>
            </w:r>
          </w:p>
        </w:tc>
        <w:tc>
          <w:tcPr>
            <w:tcW w:w="2644" w:type="dxa"/>
            <w:vAlign w:val="center"/>
          </w:tcPr>
          <w:p>
            <w:pPr>
              <w:spacing w:line="360" w:lineRule="auto"/>
              <w:rPr>
                <w:rFonts w:hint="default" w:ascii="Times New Roman" w:hAnsi="Times New Roman" w:cs="Times New Roman"/>
                <w:sz w:val="22"/>
                <w:szCs w:val="22"/>
              </w:rPr>
            </w:pPr>
            <w:r>
              <w:rPr>
                <w:rFonts w:hint="default" w:ascii="Times New Roman" w:hAnsi="Times New Roman" w:cs="Times New Roman"/>
                <w:sz w:val="22"/>
                <w:szCs w:val="22"/>
              </w:rPr>
              <w:t>4-羟基苯甲酸</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0.1</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0.4</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0.8</w:t>
            </w:r>
          </w:p>
        </w:tc>
        <w:tc>
          <w:tcPr>
            <w:tcW w:w="976"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1.0</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1.5</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04"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7</w:t>
            </w:r>
          </w:p>
        </w:tc>
        <w:tc>
          <w:tcPr>
            <w:tcW w:w="2644" w:type="dxa"/>
            <w:vAlign w:val="center"/>
          </w:tcPr>
          <w:p>
            <w:pPr>
              <w:spacing w:line="360" w:lineRule="auto"/>
              <w:rPr>
                <w:rFonts w:hint="default" w:ascii="Times New Roman" w:hAnsi="Times New Roman" w:cs="Times New Roman"/>
                <w:sz w:val="22"/>
                <w:szCs w:val="22"/>
              </w:rPr>
            </w:pPr>
            <w:r>
              <w:rPr>
                <w:rFonts w:hint="default" w:ascii="Times New Roman" w:hAnsi="Times New Roman" w:cs="Times New Roman"/>
                <w:sz w:val="22"/>
                <w:szCs w:val="22"/>
              </w:rPr>
              <w:t>4-羟基苯甲酸甲酯</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0.1</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0.4</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0.8</w:t>
            </w:r>
          </w:p>
        </w:tc>
        <w:tc>
          <w:tcPr>
            <w:tcW w:w="976"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1.0</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1.5</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04"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8</w:t>
            </w:r>
          </w:p>
        </w:tc>
        <w:tc>
          <w:tcPr>
            <w:tcW w:w="2644" w:type="dxa"/>
            <w:vAlign w:val="center"/>
          </w:tcPr>
          <w:p>
            <w:pPr>
              <w:spacing w:line="360" w:lineRule="auto"/>
              <w:rPr>
                <w:rFonts w:hint="default" w:ascii="Times New Roman" w:hAnsi="Times New Roman" w:cs="Times New Roman"/>
                <w:sz w:val="22"/>
                <w:szCs w:val="22"/>
              </w:rPr>
            </w:pPr>
            <w:r>
              <w:rPr>
                <w:rFonts w:hint="default" w:ascii="Times New Roman" w:hAnsi="Times New Roman" w:cs="Times New Roman"/>
                <w:sz w:val="22"/>
                <w:szCs w:val="22"/>
              </w:rPr>
              <w:t>4-羟基苯甲酸丁酯</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0.02</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0.08</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0.16</w:t>
            </w:r>
          </w:p>
        </w:tc>
        <w:tc>
          <w:tcPr>
            <w:tcW w:w="976"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0.2</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0.3</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04"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9</w:t>
            </w:r>
          </w:p>
        </w:tc>
        <w:tc>
          <w:tcPr>
            <w:tcW w:w="2644" w:type="dxa"/>
            <w:vAlign w:val="center"/>
          </w:tcPr>
          <w:p>
            <w:pPr>
              <w:spacing w:line="360" w:lineRule="auto"/>
              <w:rPr>
                <w:rFonts w:hint="default" w:ascii="Times New Roman" w:hAnsi="Times New Roman" w:cs="Times New Roman"/>
                <w:sz w:val="22"/>
                <w:szCs w:val="22"/>
              </w:rPr>
            </w:pPr>
            <w:r>
              <w:rPr>
                <w:rFonts w:hint="default" w:ascii="Times New Roman" w:hAnsi="Times New Roman" w:cs="Times New Roman"/>
                <w:sz w:val="22"/>
                <w:szCs w:val="22"/>
              </w:rPr>
              <w:t>4-羟基苯甲酸丙酯</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0.02</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0.08</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0.16</w:t>
            </w:r>
          </w:p>
        </w:tc>
        <w:tc>
          <w:tcPr>
            <w:tcW w:w="976"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0.2</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0.3</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704"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10</w:t>
            </w:r>
          </w:p>
        </w:tc>
        <w:tc>
          <w:tcPr>
            <w:tcW w:w="2644" w:type="dxa"/>
            <w:vAlign w:val="center"/>
          </w:tcPr>
          <w:p>
            <w:pPr>
              <w:spacing w:line="360" w:lineRule="auto"/>
              <w:rPr>
                <w:rFonts w:hint="default" w:ascii="Times New Roman" w:hAnsi="Times New Roman" w:cs="Times New Roman"/>
                <w:sz w:val="22"/>
                <w:szCs w:val="22"/>
              </w:rPr>
            </w:pPr>
            <w:r>
              <w:rPr>
                <w:rFonts w:hint="default" w:ascii="Times New Roman" w:hAnsi="Times New Roman" w:cs="Times New Roman"/>
                <w:sz w:val="22"/>
                <w:szCs w:val="22"/>
              </w:rPr>
              <w:t>4-羟基苯甲酸乙酯</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0.02</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0.08</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0.16</w:t>
            </w:r>
          </w:p>
        </w:tc>
        <w:tc>
          <w:tcPr>
            <w:tcW w:w="976"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0.2</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0.3</w:t>
            </w:r>
          </w:p>
        </w:tc>
        <w:tc>
          <w:tcPr>
            <w:tcW w:w="1014"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0.4</w:t>
            </w:r>
          </w:p>
        </w:tc>
      </w:tr>
    </w:tbl>
    <w:p>
      <w:pPr>
        <w:spacing w:line="360" w:lineRule="auto"/>
        <w:rPr>
          <w:rFonts w:hint="default" w:ascii="Times New Roman" w:hAnsi="Times New Roman" w:cs="Times New Roman"/>
        </w:rPr>
      </w:pPr>
    </w:p>
    <w:p>
      <w:pPr>
        <w:pStyle w:val="5"/>
        <w:shd w:val="clear" w:color="auto" w:fill="FFFFFF"/>
        <w:spacing w:before="0" w:beforeAutospacing="0" w:after="0" w:afterAutospacing="0" w:line="360" w:lineRule="auto"/>
        <w:ind w:firstLine="566" w:firstLineChars="236"/>
        <w:rPr>
          <w:rFonts w:hint="default" w:ascii="Times New Roman" w:hAnsi="Times New Roman" w:cs="Times New Roman"/>
        </w:rPr>
      </w:pPr>
      <w:r>
        <w:rPr>
          <w:rFonts w:hint="default" w:ascii="Times New Roman" w:hAnsi="Times New Roman" w:cs="Times New Roman"/>
        </w:rPr>
        <w:t>对10个重复加标样品进行测试，计算标准偏差SD，以3SD为检测限，10SD为定量限。结果如下表：</w:t>
      </w:r>
    </w:p>
    <w:p>
      <w:pPr>
        <w:spacing w:line="360" w:lineRule="auto"/>
        <w:jc w:val="center"/>
        <w:rPr>
          <w:rFonts w:hint="default" w:ascii="Times New Roman" w:hAnsi="Times New Roman" w:cs="Times New Roman"/>
        </w:rPr>
      </w:pPr>
      <w:r>
        <w:rPr>
          <w:rFonts w:hint="default" w:ascii="Times New Roman" w:hAnsi="Times New Roman" w:cs="Times New Roman"/>
          <w:sz w:val="22"/>
          <w:szCs w:val="22"/>
        </w:rPr>
        <w:t xml:space="preserve">表11. </w:t>
      </w:r>
      <w:r>
        <w:rPr>
          <w:rFonts w:hint="default" w:ascii="Times New Roman" w:hAnsi="Times New Roman" w:cs="Times New Roman"/>
          <w:sz w:val="22"/>
          <w:szCs w:val="22"/>
        </w:rPr>
        <w:t>定量限</w:t>
      </w:r>
      <w:r>
        <w:rPr>
          <w:rFonts w:hint="default" w:ascii="Times New Roman" w:hAnsi="Times New Roman" w:cs="Times New Roman"/>
          <w:sz w:val="22"/>
          <w:szCs w:val="22"/>
        </w:rPr>
        <w:t>(mg/</w:t>
      </w:r>
      <w:r>
        <w:rPr>
          <w:rFonts w:hint="default" w:ascii="Times New Roman" w:hAnsi="Times New Roman" w:cs="Times New Roman"/>
          <w:sz w:val="22"/>
          <w:szCs w:val="22"/>
        </w:rPr>
        <w:t>kg)</w:t>
      </w:r>
    </w:p>
    <w:tbl>
      <w:tblPr>
        <w:tblStyle w:val="6"/>
        <w:tblpPr w:leftFromText="180" w:rightFromText="180" w:vertAnchor="text" w:horzAnchor="margin" w:tblpXSpec="center" w:tblpY="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0"/>
        <w:gridCol w:w="2498"/>
        <w:gridCol w:w="1217"/>
        <w:gridCol w:w="1217"/>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blHeader/>
        </w:trPr>
        <w:tc>
          <w:tcPr>
            <w:tcW w:w="850" w:type="dxa"/>
            <w:vAlign w:val="center"/>
          </w:tcPr>
          <w:p>
            <w:pPr>
              <w:spacing w:line="360" w:lineRule="auto"/>
              <w:jc w:val="center"/>
              <w:rPr>
                <w:rFonts w:hint="default" w:ascii="Times New Roman" w:hAnsi="Times New Roman" w:cs="Times New Roman"/>
                <w:b/>
                <w:bCs/>
                <w:sz w:val="22"/>
                <w:szCs w:val="22"/>
              </w:rPr>
            </w:pPr>
            <w:r>
              <w:rPr>
                <w:rFonts w:hint="default" w:ascii="Times New Roman" w:hAnsi="Times New Roman" w:cs="Times New Roman"/>
                <w:b/>
                <w:bCs/>
                <w:sz w:val="22"/>
                <w:szCs w:val="22"/>
              </w:rPr>
              <w:t>序号</w:t>
            </w:r>
          </w:p>
        </w:tc>
        <w:tc>
          <w:tcPr>
            <w:tcW w:w="2498" w:type="dxa"/>
            <w:vAlign w:val="center"/>
          </w:tcPr>
          <w:p>
            <w:pPr>
              <w:spacing w:line="360" w:lineRule="auto"/>
              <w:jc w:val="center"/>
              <w:rPr>
                <w:rFonts w:hint="default" w:ascii="Times New Roman" w:hAnsi="Times New Roman" w:cs="Times New Roman"/>
                <w:b/>
                <w:bCs/>
                <w:sz w:val="22"/>
                <w:szCs w:val="22"/>
              </w:rPr>
            </w:pPr>
            <w:r>
              <w:rPr>
                <w:rFonts w:hint="default" w:ascii="Times New Roman" w:hAnsi="Times New Roman" w:cs="Times New Roman"/>
                <w:b/>
                <w:bCs/>
                <w:sz w:val="22"/>
                <w:szCs w:val="22"/>
              </w:rPr>
              <w:t>标准物质</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b/>
                <w:bCs/>
                <w:sz w:val="22"/>
                <w:szCs w:val="22"/>
              </w:rPr>
            </w:pPr>
            <w:r>
              <w:rPr>
                <w:rFonts w:hint="default" w:ascii="Times New Roman" w:hAnsi="Times New Roman" w:cs="Times New Roman"/>
                <w:b/>
                <w:bCs/>
                <w:sz w:val="22"/>
                <w:szCs w:val="22"/>
              </w:rPr>
              <w:t>检测限</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b/>
                <w:bCs/>
                <w:sz w:val="22"/>
                <w:szCs w:val="22"/>
              </w:rPr>
            </w:pPr>
            <w:r>
              <w:rPr>
                <w:rFonts w:hint="default" w:ascii="Times New Roman" w:hAnsi="Times New Roman" w:cs="Times New Roman"/>
                <w:b/>
                <w:bCs/>
                <w:sz w:val="22"/>
                <w:szCs w:val="22"/>
              </w:rPr>
              <w:t>定量限</w:t>
            </w:r>
          </w:p>
        </w:tc>
        <w:tc>
          <w:tcPr>
            <w:tcW w:w="1217" w:type="dxa"/>
          </w:tcPr>
          <w:p>
            <w:pPr>
              <w:pStyle w:val="11"/>
              <w:widowControl w:val="0"/>
              <w:spacing w:line="360" w:lineRule="auto"/>
              <w:ind w:firstLine="0" w:firstLineChars="0"/>
              <w:jc w:val="center"/>
              <w:rPr>
                <w:rFonts w:hint="default" w:ascii="Times New Roman" w:hAnsi="Times New Roman" w:cs="Times New Roman"/>
                <w:b/>
                <w:bCs/>
                <w:sz w:val="22"/>
                <w:szCs w:val="22"/>
              </w:rPr>
            </w:pPr>
            <w:r>
              <w:rPr>
                <w:rFonts w:hint="default" w:ascii="Times New Roman" w:hAnsi="Times New Roman" w:cs="Times New Roman"/>
                <w:b/>
                <w:bCs/>
                <w:sz w:val="22"/>
                <w:szCs w:val="22"/>
              </w:rPr>
              <w:t>报数限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850"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1</w:t>
            </w:r>
          </w:p>
        </w:tc>
        <w:tc>
          <w:tcPr>
            <w:tcW w:w="2498" w:type="dxa"/>
            <w:vAlign w:val="center"/>
          </w:tcPr>
          <w:p>
            <w:pPr>
              <w:spacing w:line="360" w:lineRule="auto"/>
              <w:rPr>
                <w:rFonts w:hint="default" w:ascii="Times New Roman" w:hAnsi="Times New Roman" w:cs="Times New Roman"/>
                <w:sz w:val="22"/>
                <w:szCs w:val="22"/>
              </w:rPr>
            </w:pPr>
            <w:r>
              <w:rPr>
                <w:rFonts w:hint="default" w:ascii="Times New Roman" w:hAnsi="Times New Roman" w:cs="Times New Roman"/>
                <w:sz w:val="22"/>
                <w:szCs w:val="22"/>
              </w:rPr>
              <w:t>4-羟基苯甲酸异丙酯</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0.08</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0.3</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850"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2</w:t>
            </w:r>
          </w:p>
        </w:tc>
        <w:tc>
          <w:tcPr>
            <w:tcW w:w="2498" w:type="dxa"/>
            <w:vAlign w:val="center"/>
          </w:tcPr>
          <w:p>
            <w:pPr>
              <w:spacing w:line="360" w:lineRule="auto"/>
              <w:rPr>
                <w:rFonts w:hint="default" w:ascii="Times New Roman" w:hAnsi="Times New Roman" w:cs="Times New Roman"/>
                <w:sz w:val="22"/>
                <w:szCs w:val="22"/>
              </w:rPr>
            </w:pPr>
            <w:r>
              <w:rPr>
                <w:rFonts w:hint="default" w:ascii="Times New Roman" w:hAnsi="Times New Roman" w:cs="Times New Roman"/>
                <w:sz w:val="22"/>
                <w:szCs w:val="22"/>
              </w:rPr>
              <w:t>4-羟基苯甲酸异丁酯</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0.1</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0.3</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850"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3</w:t>
            </w:r>
          </w:p>
        </w:tc>
        <w:tc>
          <w:tcPr>
            <w:tcW w:w="2498" w:type="dxa"/>
            <w:vAlign w:val="center"/>
          </w:tcPr>
          <w:p>
            <w:pPr>
              <w:spacing w:line="360" w:lineRule="auto"/>
              <w:rPr>
                <w:rFonts w:hint="default" w:ascii="Times New Roman" w:hAnsi="Times New Roman" w:cs="Times New Roman"/>
                <w:sz w:val="22"/>
                <w:szCs w:val="22"/>
              </w:rPr>
            </w:pPr>
            <w:r>
              <w:rPr>
                <w:rFonts w:hint="default" w:ascii="Times New Roman" w:hAnsi="Times New Roman" w:cs="Times New Roman"/>
                <w:sz w:val="22"/>
                <w:szCs w:val="22"/>
              </w:rPr>
              <w:t>4-羟基苯甲酸苯酯</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0.09</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0.3</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850"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4</w:t>
            </w:r>
          </w:p>
        </w:tc>
        <w:tc>
          <w:tcPr>
            <w:tcW w:w="2498" w:type="dxa"/>
            <w:vAlign w:val="center"/>
          </w:tcPr>
          <w:p>
            <w:pPr>
              <w:spacing w:line="360" w:lineRule="auto"/>
              <w:rPr>
                <w:rFonts w:hint="default" w:ascii="Times New Roman" w:hAnsi="Times New Roman" w:cs="Times New Roman"/>
                <w:sz w:val="22"/>
                <w:szCs w:val="22"/>
              </w:rPr>
            </w:pPr>
            <w:r>
              <w:rPr>
                <w:rFonts w:hint="default" w:ascii="Times New Roman" w:hAnsi="Times New Roman" w:cs="Times New Roman"/>
                <w:sz w:val="22"/>
                <w:szCs w:val="22"/>
              </w:rPr>
              <w:t>4-羟基苯甲酸苯甲酯</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0.08</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0.3</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850"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5</w:t>
            </w:r>
          </w:p>
        </w:tc>
        <w:tc>
          <w:tcPr>
            <w:tcW w:w="2498" w:type="dxa"/>
            <w:vAlign w:val="center"/>
          </w:tcPr>
          <w:p>
            <w:pPr>
              <w:spacing w:line="360" w:lineRule="auto"/>
              <w:rPr>
                <w:rFonts w:hint="default" w:ascii="Times New Roman" w:hAnsi="Times New Roman" w:cs="Times New Roman"/>
                <w:sz w:val="22"/>
                <w:szCs w:val="22"/>
              </w:rPr>
            </w:pPr>
            <w:r>
              <w:rPr>
                <w:rFonts w:hint="default" w:ascii="Times New Roman" w:hAnsi="Times New Roman" w:cs="Times New Roman"/>
                <w:sz w:val="22"/>
                <w:szCs w:val="22"/>
              </w:rPr>
              <w:t>4-羟基苯甲酸正戊酯</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0.1</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0.4</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850"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6</w:t>
            </w:r>
          </w:p>
        </w:tc>
        <w:tc>
          <w:tcPr>
            <w:tcW w:w="2498" w:type="dxa"/>
            <w:vAlign w:val="center"/>
          </w:tcPr>
          <w:p>
            <w:pPr>
              <w:spacing w:line="360" w:lineRule="auto"/>
              <w:rPr>
                <w:rFonts w:hint="default" w:ascii="Times New Roman" w:hAnsi="Times New Roman" w:cs="Times New Roman"/>
                <w:sz w:val="22"/>
                <w:szCs w:val="22"/>
              </w:rPr>
            </w:pPr>
            <w:r>
              <w:rPr>
                <w:rFonts w:hint="default" w:ascii="Times New Roman" w:hAnsi="Times New Roman" w:cs="Times New Roman"/>
                <w:sz w:val="22"/>
                <w:szCs w:val="22"/>
              </w:rPr>
              <w:t>4-羟基苯甲酸</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0.4</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1</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850"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7</w:t>
            </w:r>
          </w:p>
        </w:tc>
        <w:tc>
          <w:tcPr>
            <w:tcW w:w="2498" w:type="dxa"/>
            <w:vAlign w:val="center"/>
          </w:tcPr>
          <w:p>
            <w:pPr>
              <w:spacing w:line="360" w:lineRule="auto"/>
              <w:rPr>
                <w:rFonts w:hint="default" w:ascii="Times New Roman" w:hAnsi="Times New Roman" w:cs="Times New Roman"/>
                <w:sz w:val="22"/>
                <w:szCs w:val="22"/>
              </w:rPr>
            </w:pPr>
            <w:r>
              <w:rPr>
                <w:rFonts w:hint="default" w:ascii="Times New Roman" w:hAnsi="Times New Roman" w:cs="Times New Roman"/>
                <w:sz w:val="22"/>
                <w:szCs w:val="22"/>
              </w:rPr>
              <w:t>4-羟基苯甲酸甲酯</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0.4</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1</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850"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8</w:t>
            </w:r>
          </w:p>
        </w:tc>
        <w:tc>
          <w:tcPr>
            <w:tcW w:w="2498" w:type="dxa"/>
            <w:vAlign w:val="center"/>
          </w:tcPr>
          <w:p>
            <w:pPr>
              <w:spacing w:line="360" w:lineRule="auto"/>
              <w:rPr>
                <w:rFonts w:hint="default" w:ascii="Times New Roman" w:hAnsi="Times New Roman" w:cs="Times New Roman"/>
                <w:sz w:val="22"/>
                <w:szCs w:val="22"/>
              </w:rPr>
            </w:pPr>
            <w:r>
              <w:rPr>
                <w:rFonts w:hint="default" w:ascii="Times New Roman" w:hAnsi="Times New Roman" w:cs="Times New Roman"/>
                <w:sz w:val="22"/>
                <w:szCs w:val="22"/>
              </w:rPr>
              <w:t>4-羟基苯甲酸丁酯</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0.09</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0.3</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850"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9</w:t>
            </w:r>
          </w:p>
        </w:tc>
        <w:tc>
          <w:tcPr>
            <w:tcW w:w="2498" w:type="dxa"/>
            <w:vAlign w:val="center"/>
          </w:tcPr>
          <w:p>
            <w:pPr>
              <w:spacing w:line="360" w:lineRule="auto"/>
              <w:rPr>
                <w:rFonts w:hint="default" w:ascii="Times New Roman" w:hAnsi="Times New Roman" w:cs="Times New Roman"/>
                <w:sz w:val="22"/>
                <w:szCs w:val="22"/>
              </w:rPr>
            </w:pPr>
            <w:r>
              <w:rPr>
                <w:rFonts w:hint="default" w:ascii="Times New Roman" w:hAnsi="Times New Roman" w:cs="Times New Roman"/>
                <w:sz w:val="22"/>
                <w:szCs w:val="22"/>
              </w:rPr>
              <w:t>4-羟基苯甲酸丙酯</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0.2</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0.7</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850" w:type="dxa"/>
            <w:vAlign w:val="center"/>
          </w:tcPr>
          <w:p>
            <w:pPr>
              <w:spacing w:line="360" w:lineRule="auto"/>
              <w:jc w:val="center"/>
              <w:rPr>
                <w:rFonts w:hint="default" w:ascii="Times New Roman" w:hAnsi="Times New Roman" w:cs="Times New Roman"/>
                <w:sz w:val="22"/>
                <w:szCs w:val="22"/>
              </w:rPr>
            </w:pPr>
            <w:r>
              <w:rPr>
                <w:rFonts w:hint="default" w:ascii="Times New Roman" w:hAnsi="Times New Roman" w:cs="Times New Roman"/>
                <w:sz w:val="22"/>
                <w:szCs w:val="22"/>
              </w:rPr>
              <w:t>10</w:t>
            </w:r>
          </w:p>
        </w:tc>
        <w:tc>
          <w:tcPr>
            <w:tcW w:w="2498" w:type="dxa"/>
            <w:vAlign w:val="center"/>
          </w:tcPr>
          <w:p>
            <w:pPr>
              <w:spacing w:line="360" w:lineRule="auto"/>
              <w:rPr>
                <w:rFonts w:hint="default" w:ascii="Times New Roman" w:hAnsi="Times New Roman" w:cs="Times New Roman"/>
                <w:sz w:val="22"/>
                <w:szCs w:val="22"/>
              </w:rPr>
            </w:pPr>
            <w:r>
              <w:rPr>
                <w:rFonts w:hint="default" w:ascii="Times New Roman" w:hAnsi="Times New Roman" w:cs="Times New Roman"/>
                <w:sz w:val="22"/>
                <w:szCs w:val="22"/>
              </w:rPr>
              <w:t>4-羟基苯甲酸乙酯</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0.07</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0.2</w:t>
            </w:r>
          </w:p>
        </w:tc>
        <w:tc>
          <w:tcPr>
            <w:tcW w:w="1217" w:type="dxa"/>
            <w:vAlign w:val="center"/>
          </w:tcPr>
          <w:p>
            <w:pPr>
              <w:pStyle w:val="11"/>
              <w:widowControl w:val="0"/>
              <w:spacing w:line="360" w:lineRule="auto"/>
              <w:ind w:firstLine="0" w:firstLineChars="0"/>
              <w:jc w:val="center"/>
              <w:rPr>
                <w:rFonts w:hint="default" w:ascii="Times New Roman" w:hAnsi="Times New Roman" w:cs="Times New Roman"/>
                <w:sz w:val="22"/>
                <w:szCs w:val="22"/>
              </w:rPr>
            </w:pPr>
            <w:r>
              <w:rPr>
                <w:rFonts w:hint="default" w:ascii="Times New Roman" w:hAnsi="Times New Roman" w:cs="Times New Roman"/>
                <w:sz w:val="22"/>
                <w:szCs w:val="22"/>
              </w:rPr>
              <w:t>0.8</w:t>
            </w:r>
          </w:p>
        </w:tc>
      </w:tr>
    </w:tbl>
    <w:p>
      <w:pPr>
        <w:pStyle w:val="11"/>
        <w:widowControl w:val="0"/>
        <w:adjustRightInd w:val="0"/>
        <w:spacing w:line="360" w:lineRule="auto"/>
        <w:ind w:left="960" w:firstLine="0" w:firstLineChars="0"/>
        <w:jc w:val="both"/>
        <w:textAlignment w:val="baseline"/>
        <w:rPr>
          <w:rFonts w:hint="default" w:ascii="Times New Roman" w:hAnsi="Times New Roman" w:cs="Times New Roman"/>
          <w:szCs w:val="21"/>
        </w:rPr>
      </w:pPr>
    </w:p>
    <w:p>
      <w:pPr>
        <w:widowControl w:val="0"/>
        <w:adjustRightInd w:val="0"/>
        <w:spacing w:line="360" w:lineRule="auto"/>
        <w:jc w:val="both"/>
        <w:textAlignment w:val="baseline"/>
        <w:rPr>
          <w:rFonts w:hint="default" w:ascii="Times New Roman" w:hAnsi="Times New Roman" w:cs="Times New Roman"/>
          <w:szCs w:val="21"/>
        </w:rPr>
      </w:pPr>
    </w:p>
    <w:p>
      <w:pPr>
        <w:widowControl w:val="0"/>
        <w:adjustRightInd w:val="0"/>
        <w:spacing w:line="360" w:lineRule="auto"/>
        <w:jc w:val="both"/>
        <w:textAlignment w:val="baseline"/>
        <w:rPr>
          <w:rFonts w:hint="default" w:ascii="Times New Roman" w:hAnsi="Times New Roman" w:cs="Times New Roman"/>
          <w:szCs w:val="21"/>
        </w:rPr>
      </w:pPr>
    </w:p>
    <w:p>
      <w:pPr>
        <w:widowControl w:val="0"/>
        <w:adjustRightInd w:val="0"/>
        <w:spacing w:line="360" w:lineRule="auto"/>
        <w:jc w:val="both"/>
        <w:textAlignment w:val="baseline"/>
        <w:rPr>
          <w:rFonts w:hint="default" w:ascii="Times New Roman" w:hAnsi="Times New Roman" w:cs="Times New Roman"/>
          <w:szCs w:val="21"/>
        </w:rPr>
      </w:pPr>
    </w:p>
    <w:p>
      <w:pPr>
        <w:widowControl w:val="0"/>
        <w:adjustRightInd w:val="0"/>
        <w:spacing w:line="360" w:lineRule="auto"/>
        <w:ind w:left="420"/>
        <w:jc w:val="both"/>
        <w:textAlignment w:val="baseline"/>
        <w:rPr>
          <w:rFonts w:hint="default" w:ascii="Times New Roman" w:hAnsi="Times New Roman" w:cs="Times New Roman"/>
          <w:szCs w:val="21"/>
        </w:rPr>
      </w:pPr>
    </w:p>
    <w:p>
      <w:pPr>
        <w:pStyle w:val="11"/>
        <w:widowControl w:val="0"/>
        <w:adjustRightInd w:val="0"/>
        <w:spacing w:line="360" w:lineRule="auto"/>
        <w:ind w:left="780" w:firstLine="0" w:firstLineChars="0"/>
        <w:textAlignment w:val="baseline"/>
        <w:rPr>
          <w:rFonts w:hint="default" w:ascii="Times New Roman" w:hAnsi="Times New Roman" w:cs="Times New Roman"/>
          <w:szCs w:val="21"/>
        </w:rPr>
      </w:pPr>
    </w:p>
    <w:p>
      <w:pPr>
        <w:pStyle w:val="11"/>
        <w:widowControl w:val="0"/>
        <w:adjustRightInd w:val="0"/>
        <w:spacing w:line="360" w:lineRule="auto"/>
        <w:ind w:left="780" w:firstLine="0" w:firstLineChars="0"/>
        <w:textAlignment w:val="baseline"/>
        <w:rPr>
          <w:rFonts w:hint="default" w:ascii="Times New Roman" w:hAnsi="Times New Roman" w:cs="Times New Roman"/>
          <w:szCs w:val="21"/>
        </w:rPr>
      </w:pPr>
    </w:p>
    <w:p>
      <w:pPr>
        <w:pStyle w:val="11"/>
        <w:widowControl w:val="0"/>
        <w:adjustRightInd w:val="0"/>
        <w:spacing w:line="360" w:lineRule="auto"/>
        <w:ind w:left="780" w:firstLine="0" w:firstLineChars="0"/>
        <w:textAlignment w:val="baseline"/>
        <w:rPr>
          <w:rFonts w:hint="default" w:ascii="Times New Roman" w:hAnsi="Times New Roman" w:cs="Times New Roman"/>
          <w:szCs w:val="21"/>
        </w:rPr>
      </w:pPr>
    </w:p>
    <w:p>
      <w:pPr>
        <w:pStyle w:val="11"/>
        <w:widowControl w:val="0"/>
        <w:adjustRightInd w:val="0"/>
        <w:spacing w:line="360" w:lineRule="auto"/>
        <w:ind w:left="780" w:firstLine="0" w:firstLineChars="0"/>
        <w:textAlignment w:val="baseline"/>
        <w:rPr>
          <w:rFonts w:hint="default" w:ascii="Times New Roman" w:hAnsi="Times New Roman" w:cs="Times New Roman"/>
          <w:szCs w:val="21"/>
        </w:rPr>
      </w:pPr>
    </w:p>
    <w:p>
      <w:pPr>
        <w:pStyle w:val="11"/>
        <w:widowControl w:val="0"/>
        <w:adjustRightInd w:val="0"/>
        <w:spacing w:line="360" w:lineRule="auto"/>
        <w:ind w:left="780" w:firstLine="0" w:firstLineChars="0"/>
        <w:textAlignment w:val="baseline"/>
        <w:rPr>
          <w:rFonts w:hint="default" w:ascii="Times New Roman" w:hAnsi="Times New Roman" w:cs="Times New Roman"/>
          <w:szCs w:val="21"/>
        </w:rPr>
      </w:pPr>
    </w:p>
    <w:p>
      <w:pPr>
        <w:pStyle w:val="11"/>
        <w:widowControl w:val="0"/>
        <w:adjustRightInd w:val="0"/>
        <w:spacing w:line="360" w:lineRule="auto"/>
        <w:ind w:left="780" w:firstLine="0" w:firstLineChars="0"/>
        <w:textAlignment w:val="baseline"/>
        <w:rPr>
          <w:rFonts w:hint="default" w:ascii="Times New Roman" w:hAnsi="Times New Roman" w:cs="Times New Roman"/>
          <w:szCs w:val="21"/>
        </w:rPr>
      </w:pPr>
    </w:p>
    <w:p>
      <w:pPr>
        <w:pStyle w:val="11"/>
        <w:widowControl w:val="0"/>
        <w:adjustRightInd w:val="0"/>
        <w:spacing w:line="360" w:lineRule="auto"/>
        <w:ind w:left="780" w:firstLine="0" w:firstLineChars="0"/>
        <w:textAlignment w:val="baseline"/>
        <w:rPr>
          <w:rFonts w:hint="default" w:ascii="Times New Roman" w:hAnsi="Times New Roman" w:cs="Times New Roman"/>
          <w:szCs w:val="21"/>
        </w:rPr>
      </w:pPr>
    </w:p>
    <w:p>
      <w:pPr>
        <w:pStyle w:val="11"/>
        <w:widowControl w:val="0"/>
        <w:adjustRightInd w:val="0"/>
        <w:spacing w:line="360" w:lineRule="auto"/>
        <w:ind w:left="780" w:firstLine="0" w:firstLineChars="0"/>
        <w:textAlignment w:val="baseline"/>
        <w:rPr>
          <w:rFonts w:hint="default" w:ascii="Times New Roman" w:hAnsi="Times New Roman" w:cs="Times New Roman"/>
          <w:szCs w:val="21"/>
        </w:rPr>
      </w:pPr>
    </w:p>
    <w:p>
      <w:pPr>
        <w:pStyle w:val="11"/>
        <w:widowControl w:val="0"/>
        <w:numPr>
          <w:ilvl w:val="0"/>
          <w:numId w:val="6"/>
        </w:numPr>
        <w:adjustRightInd w:val="0"/>
        <w:spacing w:line="360" w:lineRule="auto"/>
        <w:ind w:firstLineChars="0"/>
        <w:textAlignment w:val="baseline"/>
        <w:rPr>
          <w:rFonts w:hint="default" w:ascii="Times New Roman" w:hAnsi="Times New Roman" w:cs="Times New Roman"/>
          <w:b/>
          <w:bCs/>
          <w:szCs w:val="21"/>
        </w:rPr>
      </w:pPr>
      <w:r>
        <w:rPr>
          <w:rFonts w:hint="default" w:ascii="Times New Roman" w:hAnsi="Times New Roman" w:cs="Times New Roman"/>
          <w:b/>
          <w:bCs/>
          <w:szCs w:val="21"/>
        </w:rPr>
        <w:t>准确度和精密度</w:t>
      </w:r>
    </w:p>
    <w:p>
      <w:pPr>
        <w:pStyle w:val="11"/>
        <w:spacing w:line="360" w:lineRule="auto"/>
        <w:ind w:firstLine="426" w:firstLineChars="0"/>
        <w:rPr>
          <w:rFonts w:hint="default" w:ascii="Times New Roman" w:hAnsi="Times New Roman" w:cs="Times New Roman"/>
        </w:rPr>
      </w:pPr>
      <w:r>
        <w:rPr>
          <w:rFonts w:hint="default" w:ascii="Times New Roman" w:hAnsi="Times New Roman" w:cs="Times New Roman"/>
        </w:rPr>
        <w:t>对水基、乳液、膏霜、蜡基、粉基样品类型，添加高、中、低三个浓度进行加标测试，每个浓度点</w:t>
      </w:r>
      <w:r>
        <w:rPr>
          <w:rFonts w:hint="default" w:ascii="Times New Roman" w:hAnsi="Times New Roman" w:cs="Times New Roman"/>
        </w:rPr>
        <w:t>做</w:t>
      </w:r>
      <w:r>
        <w:rPr>
          <w:rFonts w:hint="default" w:ascii="Times New Roman" w:hAnsi="Times New Roman" w:cs="Times New Roman"/>
        </w:rPr>
        <w:t>6个平行样。</w:t>
      </w:r>
    </w:p>
    <w:p>
      <w:pPr>
        <w:pStyle w:val="11"/>
        <w:spacing w:line="360" w:lineRule="auto"/>
        <w:ind w:firstLine="426" w:firstLineChars="0"/>
        <w:rPr>
          <w:rFonts w:hint="default" w:ascii="Times New Roman" w:hAnsi="Times New Roman" w:cs="Times New Roman"/>
        </w:rPr>
      </w:pPr>
      <w:bookmarkStart w:id="10" w:name="OLE_LINK12"/>
      <w:r>
        <w:rPr>
          <w:rFonts w:hint="default" w:ascii="Times New Roman" w:hAnsi="Times New Roman" w:cs="Times New Roman"/>
        </w:rPr>
        <w:t>准确度以加标回收率评价。大部分结果介于</w:t>
      </w:r>
      <w:bookmarkStart w:id="11" w:name="OLE_LINK10"/>
      <w:r>
        <w:rPr>
          <w:rFonts w:hint="default" w:ascii="Times New Roman" w:hAnsi="Times New Roman" w:cs="Times New Roman"/>
        </w:rPr>
        <w:t>85%-115%之间</w:t>
      </w:r>
      <w:bookmarkEnd w:id="11"/>
      <w:r>
        <w:rPr>
          <w:rFonts w:hint="default" w:ascii="Times New Roman" w:hAnsi="Times New Roman" w:cs="Times New Roman"/>
        </w:rPr>
        <w:t>。膏体和粉末样品有个别物质的回收率略低于85%，介于80% - 115%之间。特别是膏体和粉末样品基质较复杂，对测试的影响略大。不过参与验证的三家实验室中有两家的低、高浓度的各目标物的回收率都在85%-115%之间。</w:t>
      </w:r>
    </w:p>
    <w:p>
      <w:pPr>
        <w:pStyle w:val="11"/>
        <w:spacing w:line="360" w:lineRule="auto"/>
        <w:ind w:firstLine="426" w:firstLineChars="0"/>
        <w:rPr>
          <w:rFonts w:hint="default" w:ascii="Times New Roman" w:hAnsi="Times New Roman" w:cs="Times New Roman"/>
        </w:rPr>
      </w:pPr>
      <w:r>
        <w:rPr>
          <w:rFonts w:hint="default" w:ascii="Times New Roman" w:hAnsi="Times New Roman" w:cs="Times New Roman"/>
        </w:rPr>
        <w:t>精密度以6次平行测试的相对标准偏差表示。大部分结果不超过5%。少数含量小于1000 ug/kg（0.0001%）的物质的精密度RSD介于5% - 10%之间。含量大于1000 ug/kg的物质的精密度，护肤类有一个物质，彩妆类有两个物质的精密度RSD略大于5%，小于10%。由于样品基质复杂，测试物质较多，此方法的精密度RSD建议以小于10%要求为宜。</w:t>
      </w:r>
    </w:p>
    <w:bookmarkEnd w:id="10"/>
    <w:p>
      <w:pPr>
        <w:pStyle w:val="11"/>
        <w:widowControl w:val="0"/>
        <w:numPr>
          <w:ilvl w:val="0"/>
          <w:numId w:val="6"/>
        </w:numPr>
        <w:adjustRightInd w:val="0"/>
        <w:spacing w:line="360" w:lineRule="auto"/>
        <w:ind w:firstLineChars="0"/>
        <w:textAlignment w:val="baseline"/>
        <w:rPr>
          <w:rFonts w:hint="default" w:ascii="Times New Roman" w:hAnsi="Times New Roman" w:cs="Times New Roman"/>
          <w:b/>
          <w:bCs/>
          <w:szCs w:val="21"/>
        </w:rPr>
      </w:pPr>
      <w:r>
        <w:rPr>
          <w:rFonts w:hint="default" w:ascii="Times New Roman" w:hAnsi="Times New Roman" w:cs="Times New Roman"/>
          <w:b/>
          <w:bCs/>
          <w:szCs w:val="21"/>
        </w:rPr>
        <w:t>比对分析</w:t>
      </w:r>
    </w:p>
    <w:p>
      <w:pPr>
        <w:pStyle w:val="11"/>
        <w:spacing w:line="360" w:lineRule="auto"/>
        <w:ind w:firstLine="426" w:firstLineChars="0"/>
        <w:rPr>
          <w:rFonts w:hint="default" w:ascii="Times New Roman" w:hAnsi="Times New Roman" w:cs="Times New Roman"/>
        </w:rPr>
      </w:pPr>
      <w:r>
        <w:rPr>
          <w:rFonts w:hint="default" w:ascii="Times New Roman" w:hAnsi="Times New Roman" w:cs="Times New Roman"/>
        </w:rPr>
        <w:t>三家实验室测试同样的</w:t>
      </w:r>
      <w:r>
        <w:rPr>
          <w:rFonts w:hint="default" w:ascii="Times New Roman" w:hAnsi="Times New Roman" w:cs="Times New Roman"/>
        </w:rPr>
        <w:t>以下</w:t>
      </w:r>
      <w:r>
        <w:rPr>
          <w:rFonts w:hint="default" w:ascii="Times New Roman" w:hAnsi="Times New Roman" w:cs="Times New Roman"/>
        </w:rPr>
        <w:t>3种</w:t>
      </w:r>
      <w:r>
        <w:rPr>
          <w:rFonts w:hint="default" w:ascii="Times New Roman" w:hAnsi="Times New Roman" w:cs="Times New Roman"/>
        </w:rPr>
        <w:t>实际</w:t>
      </w:r>
      <w:r>
        <w:rPr>
          <w:rFonts w:hint="default" w:ascii="Times New Roman" w:hAnsi="Times New Roman" w:cs="Times New Roman"/>
        </w:rPr>
        <w:t>样品的结果如下表。测试结果较接近，标准偏差RSD&lt;10%。</w:t>
      </w:r>
    </w:p>
    <w:p>
      <w:pPr>
        <w:pStyle w:val="11"/>
        <w:spacing w:line="360" w:lineRule="auto"/>
        <w:ind w:firstLine="0" w:firstLineChars="0"/>
        <w:jc w:val="center"/>
        <w:rPr>
          <w:rFonts w:hint="default" w:ascii="Times New Roman" w:hAnsi="Times New Roman" w:cs="Times New Roman"/>
        </w:rPr>
      </w:pPr>
      <w:r>
        <w:rPr>
          <w:rFonts w:hint="default" w:ascii="Times New Roman" w:hAnsi="Times New Roman" w:cs="Times New Roman"/>
          <w:sz w:val="22"/>
          <w:szCs w:val="22"/>
        </w:rPr>
        <w:t xml:space="preserve">表12. </w:t>
      </w:r>
      <w:r>
        <w:rPr>
          <w:rFonts w:hint="default" w:ascii="Times New Roman" w:hAnsi="Times New Roman" w:cs="Times New Roman"/>
          <w:sz w:val="22"/>
          <w:szCs w:val="22"/>
        </w:rPr>
        <w:t>实验室间比对</w:t>
      </w:r>
    </w:p>
    <w:tbl>
      <w:tblPr>
        <w:tblStyle w:val="6"/>
        <w:tblW w:w="5000" w:type="pct"/>
        <w:tblInd w:w="0" w:type="dxa"/>
        <w:tblLayout w:type="autofit"/>
        <w:tblCellMar>
          <w:top w:w="0" w:type="dxa"/>
          <w:left w:w="108" w:type="dxa"/>
          <w:bottom w:w="0" w:type="dxa"/>
          <w:right w:w="108" w:type="dxa"/>
        </w:tblCellMar>
      </w:tblPr>
      <w:tblGrid>
        <w:gridCol w:w="697"/>
        <w:gridCol w:w="2025"/>
        <w:gridCol w:w="1245"/>
        <w:gridCol w:w="1245"/>
        <w:gridCol w:w="1245"/>
        <w:gridCol w:w="945"/>
        <w:gridCol w:w="945"/>
        <w:gridCol w:w="941"/>
      </w:tblGrid>
      <w:tr>
        <w:tblPrEx>
          <w:tblCellMar>
            <w:top w:w="0" w:type="dxa"/>
            <w:left w:w="108" w:type="dxa"/>
            <w:bottom w:w="0" w:type="dxa"/>
            <w:right w:w="108" w:type="dxa"/>
          </w:tblCellMar>
        </w:tblPrEx>
        <w:trPr>
          <w:trHeight w:val="615" w:hRule="atLeast"/>
          <w:tblHeader/>
        </w:trPr>
        <w:tc>
          <w:tcPr>
            <w:tcW w:w="376" w:type="pct"/>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b/>
                <w:bCs/>
                <w:color w:val="000000"/>
                <w:sz w:val="22"/>
                <w:szCs w:val="22"/>
              </w:rPr>
            </w:pPr>
            <w:r>
              <w:rPr>
                <w:rFonts w:hint="default" w:ascii="Times New Roman" w:hAnsi="Times New Roman" w:cs="Times New Roman"/>
                <w:b/>
                <w:bCs/>
                <w:color w:val="000000"/>
                <w:sz w:val="22"/>
                <w:szCs w:val="22"/>
              </w:rPr>
              <w:t>样品</w:t>
            </w:r>
          </w:p>
        </w:tc>
        <w:tc>
          <w:tcPr>
            <w:tcW w:w="1090" w:type="pct"/>
            <w:tcBorders>
              <w:top w:val="single" w:color="auto" w:sz="4" w:space="0"/>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b/>
                <w:bCs/>
                <w:color w:val="000000"/>
                <w:sz w:val="22"/>
                <w:szCs w:val="22"/>
              </w:rPr>
            </w:pPr>
            <w:r>
              <w:rPr>
                <w:rFonts w:hint="default" w:ascii="Times New Roman" w:hAnsi="Times New Roman" w:cs="Times New Roman"/>
                <w:b/>
                <w:bCs/>
                <w:color w:val="000000"/>
                <w:sz w:val="22"/>
                <w:szCs w:val="22"/>
              </w:rPr>
              <w:t>被测物质</w:t>
            </w:r>
          </w:p>
        </w:tc>
        <w:tc>
          <w:tcPr>
            <w:tcW w:w="669" w:type="pct"/>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hint="default" w:ascii="Times New Roman" w:hAnsi="Times New Roman" w:cs="Times New Roman"/>
                <w:b/>
                <w:bCs/>
                <w:color w:val="000000"/>
                <w:sz w:val="22"/>
                <w:szCs w:val="22"/>
              </w:rPr>
            </w:pPr>
            <w:r>
              <w:rPr>
                <w:rFonts w:hint="default" w:ascii="Times New Roman" w:hAnsi="Times New Roman" w:cs="Times New Roman"/>
                <w:b/>
                <w:bCs/>
                <w:color w:val="000000"/>
                <w:sz w:val="22"/>
                <w:szCs w:val="22"/>
              </w:rPr>
              <w:t>实验室1</w:t>
            </w:r>
            <w:r>
              <w:rPr>
                <w:rFonts w:hint="default" w:ascii="Times New Roman" w:hAnsi="Times New Roman" w:cs="Times New Roman"/>
                <w:b/>
                <w:bCs/>
                <w:color w:val="000000"/>
                <w:sz w:val="22"/>
                <w:szCs w:val="22"/>
              </w:rPr>
              <w:br w:type="textWrapping"/>
            </w:r>
            <w:r>
              <w:rPr>
                <w:rFonts w:hint="default" w:ascii="Times New Roman" w:hAnsi="Times New Roman" w:cs="Times New Roman"/>
                <w:b/>
                <w:bCs/>
                <w:color w:val="000000"/>
                <w:sz w:val="22"/>
                <w:szCs w:val="22"/>
              </w:rPr>
              <w:t>（mg/kg）</w:t>
            </w:r>
          </w:p>
        </w:tc>
        <w:tc>
          <w:tcPr>
            <w:tcW w:w="669" w:type="pct"/>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hint="default" w:ascii="Times New Roman" w:hAnsi="Times New Roman" w:cs="Times New Roman"/>
                <w:b/>
                <w:bCs/>
                <w:color w:val="000000"/>
                <w:sz w:val="22"/>
                <w:szCs w:val="22"/>
              </w:rPr>
            </w:pPr>
            <w:r>
              <w:rPr>
                <w:rFonts w:hint="default" w:ascii="Times New Roman" w:hAnsi="Times New Roman" w:cs="Times New Roman"/>
                <w:b/>
                <w:bCs/>
                <w:color w:val="000000"/>
                <w:sz w:val="22"/>
                <w:szCs w:val="22"/>
              </w:rPr>
              <w:t>实验室2</w:t>
            </w:r>
            <w:r>
              <w:rPr>
                <w:rFonts w:hint="default" w:ascii="Times New Roman" w:hAnsi="Times New Roman" w:cs="Times New Roman"/>
                <w:b/>
                <w:bCs/>
                <w:color w:val="000000"/>
                <w:sz w:val="22"/>
                <w:szCs w:val="22"/>
              </w:rPr>
              <w:br w:type="textWrapping"/>
            </w:r>
            <w:r>
              <w:rPr>
                <w:rFonts w:hint="default" w:ascii="Times New Roman" w:hAnsi="Times New Roman" w:cs="Times New Roman"/>
                <w:b/>
                <w:bCs/>
                <w:color w:val="000000"/>
                <w:sz w:val="22"/>
                <w:szCs w:val="22"/>
              </w:rPr>
              <w:t>（mg/kg）</w:t>
            </w:r>
          </w:p>
        </w:tc>
        <w:tc>
          <w:tcPr>
            <w:tcW w:w="669" w:type="pct"/>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hint="default" w:ascii="Times New Roman" w:hAnsi="Times New Roman" w:cs="Times New Roman"/>
                <w:b/>
                <w:bCs/>
                <w:color w:val="000000"/>
                <w:sz w:val="22"/>
                <w:szCs w:val="22"/>
              </w:rPr>
            </w:pPr>
            <w:r>
              <w:rPr>
                <w:rFonts w:hint="default" w:ascii="Times New Roman" w:hAnsi="Times New Roman" w:cs="Times New Roman"/>
                <w:b/>
                <w:bCs/>
                <w:color w:val="000000"/>
                <w:sz w:val="22"/>
                <w:szCs w:val="22"/>
              </w:rPr>
              <w:t>实验室3</w:t>
            </w:r>
            <w:r>
              <w:rPr>
                <w:rFonts w:hint="default" w:ascii="Times New Roman" w:hAnsi="Times New Roman" w:cs="Times New Roman"/>
                <w:b/>
                <w:bCs/>
                <w:color w:val="000000"/>
                <w:sz w:val="22"/>
                <w:szCs w:val="22"/>
              </w:rPr>
              <w:br w:type="textWrapping"/>
            </w:r>
            <w:r>
              <w:rPr>
                <w:rFonts w:hint="default" w:ascii="Times New Roman" w:hAnsi="Times New Roman" w:cs="Times New Roman"/>
                <w:b/>
                <w:bCs/>
                <w:color w:val="000000"/>
                <w:sz w:val="22"/>
                <w:szCs w:val="22"/>
              </w:rPr>
              <w:t>（mg/kg）</w:t>
            </w:r>
          </w:p>
        </w:tc>
        <w:tc>
          <w:tcPr>
            <w:tcW w:w="509" w:type="pct"/>
            <w:tcBorders>
              <w:top w:val="single" w:color="auto" w:sz="4" w:space="0"/>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b/>
                <w:bCs/>
                <w:color w:val="000000"/>
                <w:sz w:val="22"/>
                <w:szCs w:val="22"/>
              </w:rPr>
            </w:pPr>
            <w:r>
              <w:rPr>
                <w:rFonts w:hint="default" w:ascii="Times New Roman" w:hAnsi="Times New Roman" w:cs="Times New Roman"/>
                <w:b/>
                <w:bCs/>
                <w:color w:val="000000"/>
                <w:sz w:val="22"/>
                <w:szCs w:val="22"/>
              </w:rPr>
              <w:t>平均值</w:t>
            </w:r>
          </w:p>
        </w:tc>
        <w:tc>
          <w:tcPr>
            <w:tcW w:w="509" w:type="pct"/>
            <w:tcBorders>
              <w:top w:val="single" w:color="auto" w:sz="4" w:space="0"/>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b/>
                <w:bCs/>
                <w:color w:val="000000"/>
                <w:sz w:val="22"/>
                <w:szCs w:val="22"/>
              </w:rPr>
            </w:pPr>
            <w:r>
              <w:rPr>
                <w:rFonts w:hint="default" w:ascii="Times New Roman" w:hAnsi="Times New Roman" w:cs="Times New Roman"/>
                <w:b/>
                <w:bCs/>
                <w:color w:val="000000"/>
                <w:sz w:val="22"/>
                <w:szCs w:val="22"/>
              </w:rPr>
              <w:t>SD</w:t>
            </w:r>
          </w:p>
        </w:tc>
        <w:tc>
          <w:tcPr>
            <w:tcW w:w="507" w:type="pct"/>
            <w:tcBorders>
              <w:top w:val="single" w:color="auto" w:sz="4" w:space="0"/>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b/>
                <w:bCs/>
                <w:color w:val="000000"/>
                <w:sz w:val="22"/>
                <w:szCs w:val="22"/>
              </w:rPr>
            </w:pPr>
            <w:r>
              <w:rPr>
                <w:rFonts w:hint="default" w:ascii="Times New Roman" w:hAnsi="Times New Roman" w:cs="Times New Roman"/>
                <w:b/>
                <w:bCs/>
                <w:color w:val="000000"/>
                <w:sz w:val="22"/>
                <w:szCs w:val="22"/>
              </w:rPr>
              <w:t>RSD</w:t>
            </w:r>
          </w:p>
        </w:tc>
      </w:tr>
      <w:tr>
        <w:tblPrEx>
          <w:tblCellMar>
            <w:top w:w="0" w:type="dxa"/>
            <w:left w:w="108" w:type="dxa"/>
            <w:bottom w:w="0" w:type="dxa"/>
            <w:right w:w="108" w:type="dxa"/>
          </w:tblCellMar>
        </w:tblPrEx>
        <w:trPr>
          <w:trHeight w:val="270" w:hRule="atLeast"/>
        </w:trPr>
        <w:tc>
          <w:tcPr>
            <w:tcW w:w="376" w:type="pct"/>
            <w:tcBorders>
              <w:top w:val="nil"/>
              <w:left w:val="single" w:color="auto" w:sz="4" w:space="0"/>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乳类</w:t>
            </w:r>
          </w:p>
        </w:tc>
        <w:tc>
          <w:tcPr>
            <w:tcW w:w="1090"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4-羟基苯甲酸甲酯</w:t>
            </w:r>
          </w:p>
        </w:tc>
        <w:tc>
          <w:tcPr>
            <w:tcW w:w="669"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156</w:t>
            </w:r>
          </w:p>
        </w:tc>
        <w:tc>
          <w:tcPr>
            <w:tcW w:w="669"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160</w:t>
            </w:r>
          </w:p>
        </w:tc>
        <w:tc>
          <w:tcPr>
            <w:tcW w:w="669"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170</w:t>
            </w:r>
          </w:p>
        </w:tc>
        <w:tc>
          <w:tcPr>
            <w:tcW w:w="509"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 xml:space="preserve">162.0 </w:t>
            </w:r>
          </w:p>
        </w:tc>
        <w:tc>
          <w:tcPr>
            <w:tcW w:w="509"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 xml:space="preserve">7.2 </w:t>
            </w:r>
          </w:p>
        </w:tc>
        <w:tc>
          <w:tcPr>
            <w:tcW w:w="507"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4.5%</w:t>
            </w:r>
          </w:p>
        </w:tc>
      </w:tr>
      <w:tr>
        <w:tblPrEx>
          <w:tblCellMar>
            <w:top w:w="0" w:type="dxa"/>
            <w:left w:w="108" w:type="dxa"/>
            <w:bottom w:w="0" w:type="dxa"/>
            <w:right w:w="108" w:type="dxa"/>
          </w:tblCellMar>
        </w:tblPrEx>
        <w:trPr>
          <w:trHeight w:val="270" w:hRule="atLeast"/>
        </w:trPr>
        <w:tc>
          <w:tcPr>
            <w:tcW w:w="376" w:type="pct"/>
            <w:vMerge w:val="restart"/>
            <w:tcBorders>
              <w:top w:val="nil"/>
              <w:left w:val="single" w:color="auto" w:sz="4" w:space="0"/>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膏霜</w:t>
            </w:r>
          </w:p>
        </w:tc>
        <w:tc>
          <w:tcPr>
            <w:tcW w:w="1090"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4-羟基苯甲酸甲酯</w:t>
            </w:r>
          </w:p>
        </w:tc>
        <w:tc>
          <w:tcPr>
            <w:tcW w:w="669"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1476</w:t>
            </w:r>
          </w:p>
        </w:tc>
        <w:tc>
          <w:tcPr>
            <w:tcW w:w="669"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1360</w:t>
            </w:r>
          </w:p>
        </w:tc>
        <w:tc>
          <w:tcPr>
            <w:tcW w:w="669"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1560</w:t>
            </w:r>
          </w:p>
        </w:tc>
        <w:tc>
          <w:tcPr>
            <w:tcW w:w="509"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 xml:space="preserve">1465.3 </w:t>
            </w:r>
          </w:p>
        </w:tc>
        <w:tc>
          <w:tcPr>
            <w:tcW w:w="509"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 xml:space="preserve">100.4 </w:t>
            </w:r>
          </w:p>
        </w:tc>
        <w:tc>
          <w:tcPr>
            <w:tcW w:w="507"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6.9%</w:t>
            </w:r>
          </w:p>
        </w:tc>
      </w:tr>
      <w:tr>
        <w:tblPrEx>
          <w:tblCellMar>
            <w:top w:w="0" w:type="dxa"/>
            <w:left w:w="108" w:type="dxa"/>
            <w:bottom w:w="0" w:type="dxa"/>
            <w:right w:w="108" w:type="dxa"/>
          </w:tblCellMar>
        </w:tblPrEx>
        <w:trPr>
          <w:trHeight w:val="270" w:hRule="atLeast"/>
        </w:trPr>
        <w:tc>
          <w:tcPr>
            <w:tcW w:w="376" w:type="pct"/>
            <w:vMerge w:val="continue"/>
            <w:tcBorders>
              <w:top w:val="nil"/>
              <w:left w:val="single" w:color="auto" w:sz="4" w:space="0"/>
              <w:bottom w:val="single" w:color="auto" w:sz="4" w:space="0"/>
              <w:right w:val="single" w:color="auto" w:sz="4" w:space="0"/>
            </w:tcBorders>
            <w:vAlign w:val="center"/>
          </w:tcPr>
          <w:p>
            <w:pPr>
              <w:spacing w:line="360" w:lineRule="auto"/>
              <w:rPr>
                <w:rFonts w:hint="default" w:ascii="Times New Roman" w:hAnsi="Times New Roman" w:cs="Times New Roman"/>
                <w:color w:val="000000"/>
                <w:sz w:val="22"/>
                <w:szCs w:val="22"/>
              </w:rPr>
            </w:pPr>
          </w:p>
        </w:tc>
        <w:tc>
          <w:tcPr>
            <w:tcW w:w="1090"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4-羟基苯甲酸丙酯</w:t>
            </w:r>
          </w:p>
        </w:tc>
        <w:tc>
          <w:tcPr>
            <w:tcW w:w="669"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929</w:t>
            </w:r>
          </w:p>
        </w:tc>
        <w:tc>
          <w:tcPr>
            <w:tcW w:w="669"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853</w:t>
            </w:r>
          </w:p>
        </w:tc>
        <w:tc>
          <w:tcPr>
            <w:tcW w:w="669"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983</w:t>
            </w:r>
          </w:p>
        </w:tc>
        <w:tc>
          <w:tcPr>
            <w:tcW w:w="509"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 xml:space="preserve">921.7 </w:t>
            </w:r>
          </w:p>
        </w:tc>
        <w:tc>
          <w:tcPr>
            <w:tcW w:w="509"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 xml:space="preserve">65.3 </w:t>
            </w:r>
          </w:p>
        </w:tc>
        <w:tc>
          <w:tcPr>
            <w:tcW w:w="507"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7.1%</w:t>
            </w:r>
          </w:p>
        </w:tc>
      </w:tr>
      <w:tr>
        <w:tblPrEx>
          <w:tblCellMar>
            <w:top w:w="0" w:type="dxa"/>
            <w:left w:w="108" w:type="dxa"/>
            <w:bottom w:w="0" w:type="dxa"/>
            <w:right w:w="108" w:type="dxa"/>
          </w:tblCellMar>
        </w:tblPrEx>
        <w:trPr>
          <w:trHeight w:val="270" w:hRule="atLeast"/>
        </w:trPr>
        <w:tc>
          <w:tcPr>
            <w:tcW w:w="376" w:type="pct"/>
            <w:vMerge w:val="restart"/>
            <w:tcBorders>
              <w:top w:val="nil"/>
              <w:left w:val="single" w:color="auto" w:sz="4" w:space="0"/>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唇膏</w:t>
            </w:r>
          </w:p>
        </w:tc>
        <w:tc>
          <w:tcPr>
            <w:tcW w:w="1090"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4-羟基苯甲酸甲酯</w:t>
            </w:r>
          </w:p>
        </w:tc>
        <w:tc>
          <w:tcPr>
            <w:tcW w:w="669"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619</w:t>
            </w:r>
          </w:p>
        </w:tc>
        <w:tc>
          <w:tcPr>
            <w:tcW w:w="669"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657.55</w:t>
            </w:r>
          </w:p>
        </w:tc>
        <w:tc>
          <w:tcPr>
            <w:tcW w:w="669"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642</w:t>
            </w:r>
          </w:p>
        </w:tc>
        <w:tc>
          <w:tcPr>
            <w:tcW w:w="509"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 xml:space="preserve">639.5 </w:t>
            </w:r>
          </w:p>
        </w:tc>
        <w:tc>
          <w:tcPr>
            <w:tcW w:w="509"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 xml:space="preserve">19.4 </w:t>
            </w:r>
          </w:p>
        </w:tc>
        <w:tc>
          <w:tcPr>
            <w:tcW w:w="507"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3.0%</w:t>
            </w:r>
          </w:p>
        </w:tc>
      </w:tr>
      <w:tr>
        <w:tblPrEx>
          <w:tblCellMar>
            <w:top w:w="0" w:type="dxa"/>
            <w:left w:w="108" w:type="dxa"/>
            <w:bottom w:w="0" w:type="dxa"/>
            <w:right w:w="108" w:type="dxa"/>
          </w:tblCellMar>
        </w:tblPrEx>
        <w:trPr>
          <w:trHeight w:val="270" w:hRule="atLeast"/>
        </w:trPr>
        <w:tc>
          <w:tcPr>
            <w:tcW w:w="376" w:type="pct"/>
            <w:vMerge w:val="continue"/>
            <w:tcBorders>
              <w:top w:val="nil"/>
              <w:left w:val="single" w:color="auto" w:sz="4" w:space="0"/>
              <w:bottom w:val="single" w:color="auto" w:sz="4" w:space="0"/>
              <w:right w:val="single" w:color="auto" w:sz="4" w:space="0"/>
            </w:tcBorders>
            <w:vAlign w:val="center"/>
          </w:tcPr>
          <w:p>
            <w:pPr>
              <w:spacing w:line="360" w:lineRule="auto"/>
              <w:rPr>
                <w:rFonts w:hint="default" w:ascii="Times New Roman" w:hAnsi="Times New Roman" w:cs="Times New Roman"/>
                <w:color w:val="000000"/>
                <w:sz w:val="22"/>
                <w:szCs w:val="22"/>
              </w:rPr>
            </w:pPr>
          </w:p>
        </w:tc>
        <w:tc>
          <w:tcPr>
            <w:tcW w:w="1090"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4-羟基苯甲酸丙酯</w:t>
            </w:r>
          </w:p>
        </w:tc>
        <w:tc>
          <w:tcPr>
            <w:tcW w:w="669"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620</w:t>
            </w:r>
          </w:p>
        </w:tc>
        <w:tc>
          <w:tcPr>
            <w:tcW w:w="669"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610.13</w:t>
            </w:r>
          </w:p>
        </w:tc>
        <w:tc>
          <w:tcPr>
            <w:tcW w:w="669"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643</w:t>
            </w:r>
          </w:p>
        </w:tc>
        <w:tc>
          <w:tcPr>
            <w:tcW w:w="509"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 xml:space="preserve">624.4 </w:t>
            </w:r>
          </w:p>
        </w:tc>
        <w:tc>
          <w:tcPr>
            <w:tcW w:w="509"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 xml:space="preserve">16.9 </w:t>
            </w:r>
          </w:p>
        </w:tc>
        <w:tc>
          <w:tcPr>
            <w:tcW w:w="507" w:type="pct"/>
            <w:tcBorders>
              <w:top w:val="nil"/>
              <w:left w:val="nil"/>
              <w:bottom w:val="single" w:color="auto" w:sz="4" w:space="0"/>
              <w:right w:val="single" w:color="auto" w:sz="4" w:space="0"/>
            </w:tcBorders>
            <w:shd w:val="clear" w:color="auto" w:fill="auto"/>
            <w:noWrap/>
            <w:vAlign w:val="center"/>
          </w:tcPr>
          <w:p>
            <w:pPr>
              <w:spacing w:line="360" w:lineRule="auto"/>
              <w:jc w:val="center"/>
              <w:rPr>
                <w:rFonts w:hint="default" w:ascii="Times New Roman" w:hAnsi="Times New Roman" w:cs="Times New Roman"/>
                <w:color w:val="000000"/>
                <w:sz w:val="22"/>
                <w:szCs w:val="22"/>
              </w:rPr>
            </w:pPr>
            <w:r>
              <w:rPr>
                <w:rFonts w:hint="default" w:ascii="Times New Roman" w:hAnsi="Times New Roman" w:cs="Times New Roman"/>
                <w:color w:val="000000"/>
                <w:sz w:val="22"/>
                <w:szCs w:val="22"/>
              </w:rPr>
              <w:t>2.7%</w:t>
            </w:r>
          </w:p>
        </w:tc>
      </w:tr>
    </w:tbl>
    <w:p>
      <w:pPr>
        <w:pStyle w:val="11"/>
        <w:spacing w:line="360" w:lineRule="auto"/>
        <w:ind w:left="780" w:firstLine="0" w:firstLineChars="0"/>
        <w:rPr>
          <w:rFonts w:hint="default" w:ascii="Times New Roman" w:hAnsi="Times New Roman" w:cs="Times New Roman"/>
          <w:color w:val="00B0F0"/>
          <w:sz w:val="21"/>
          <w:szCs w:val="21"/>
        </w:rPr>
      </w:pPr>
    </w:p>
    <w:p>
      <w:pPr>
        <w:widowControl w:val="0"/>
        <w:adjustRightInd w:val="0"/>
        <w:spacing w:line="360" w:lineRule="auto"/>
        <w:jc w:val="both"/>
        <w:textAlignment w:val="baseline"/>
        <w:rPr>
          <w:rFonts w:hint="default" w:ascii="Times New Roman" w:hAnsi="Times New Roman" w:cs="Times New Roman"/>
          <w:b/>
          <w:bCs/>
          <w:szCs w:val="22"/>
        </w:rPr>
      </w:pPr>
      <w:r>
        <w:rPr>
          <w:rFonts w:hint="default" w:ascii="Times New Roman" w:hAnsi="Times New Roman" w:cs="Times New Roman"/>
          <w:b/>
          <w:bCs/>
          <w:szCs w:val="22"/>
        </w:rPr>
        <w:t>四</w:t>
      </w:r>
      <w:r>
        <w:rPr>
          <w:rFonts w:hint="default" w:ascii="Times New Roman" w:hAnsi="Times New Roman" w:cs="Times New Roman"/>
          <w:b/>
          <w:bCs/>
          <w:szCs w:val="22"/>
        </w:rPr>
        <w:t>、标准中涉及专利和知识产权说明</w:t>
      </w:r>
    </w:p>
    <w:p>
      <w:pPr>
        <w:widowControl w:val="0"/>
        <w:adjustRightInd w:val="0"/>
        <w:spacing w:line="360" w:lineRule="auto"/>
        <w:ind w:left="566" w:leftChars="236"/>
        <w:jc w:val="both"/>
        <w:textAlignment w:val="baseline"/>
        <w:rPr>
          <w:rFonts w:hint="default" w:ascii="Times New Roman" w:hAnsi="Times New Roman" w:cs="Times New Roman"/>
          <w:szCs w:val="22"/>
        </w:rPr>
      </w:pPr>
      <w:r>
        <w:rPr>
          <w:rFonts w:hint="default" w:ascii="Times New Roman" w:hAnsi="Times New Roman" w:cs="Times New Roman"/>
          <w:szCs w:val="22"/>
        </w:rPr>
        <w:t>该标准内容不涉及专利。</w:t>
      </w:r>
    </w:p>
    <w:p>
      <w:pPr>
        <w:widowControl w:val="0"/>
        <w:adjustRightInd w:val="0"/>
        <w:spacing w:line="360" w:lineRule="auto"/>
        <w:jc w:val="both"/>
        <w:textAlignment w:val="baseline"/>
        <w:rPr>
          <w:rFonts w:hint="default" w:ascii="Times New Roman" w:hAnsi="Times New Roman" w:cs="Times New Roman"/>
          <w:b/>
          <w:bCs/>
          <w:szCs w:val="21"/>
        </w:rPr>
      </w:pPr>
      <w:r>
        <w:rPr>
          <w:rFonts w:hint="default" w:ascii="Times New Roman" w:hAnsi="Times New Roman" w:cs="Times New Roman"/>
          <w:b/>
          <w:bCs/>
          <w:szCs w:val="21"/>
        </w:rPr>
        <w:t>五</w:t>
      </w:r>
      <w:r>
        <w:rPr>
          <w:rFonts w:hint="default" w:ascii="Times New Roman" w:hAnsi="Times New Roman" w:cs="Times New Roman"/>
          <w:b/>
          <w:bCs/>
          <w:szCs w:val="21"/>
        </w:rPr>
        <w:t>、预期达到的社会效益、对产业发展的作用等情况</w:t>
      </w:r>
    </w:p>
    <w:p>
      <w:pPr>
        <w:spacing w:line="360" w:lineRule="auto"/>
        <w:ind w:firstLine="480" w:firstLineChars="200"/>
        <w:rPr>
          <w:rFonts w:hint="default" w:ascii="Times New Roman" w:hAnsi="Times New Roman" w:cs="Times New Roman"/>
          <w:szCs w:val="22"/>
        </w:rPr>
      </w:pPr>
      <w:r>
        <w:rPr>
          <w:rFonts w:hint="default" w:ascii="Times New Roman" w:hAnsi="Times New Roman" w:cs="Times New Roman"/>
          <w:szCs w:val="22"/>
        </w:rPr>
        <w:t>本标准建立了适用于</w:t>
      </w:r>
      <w:bookmarkStart w:id="12" w:name="OLE_LINK14"/>
      <w:r>
        <w:rPr>
          <w:rFonts w:hint="default" w:ascii="Times New Roman" w:hAnsi="Times New Roman" w:cs="Times New Roman"/>
          <w:szCs w:val="22"/>
        </w:rPr>
        <w:t>水基、乳液、膏霜、凝胶、蜡基、粉基</w:t>
      </w:r>
      <w:bookmarkEnd w:id="12"/>
      <w:r>
        <w:rPr>
          <w:rFonts w:hint="default" w:ascii="Times New Roman" w:hAnsi="Times New Roman" w:cs="Times New Roman"/>
          <w:szCs w:val="22"/>
        </w:rPr>
        <w:t>类等化妆品中22种4-羟基苯甲酸及其酯和盐类防腐剂的测定方法。填补了检测标准的缺失。本标准的发布实施为《化妆品安全技术规范》（2015年版）和欧盟(EC) No 1223/2009标准对4-羟基苯甲酸及其酯和盐类防腐剂的管控实施提供了检测方法的支持；同时也为各检测实验室提供了可以参考的标准方法，提高其检测和服务能力。从而为生产销售企业的</w:t>
      </w:r>
      <w:r>
        <w:rPr>
          <w:rFonts w:hint="default" w:ascii="Times New Roman" w:hAnsi="Times New Roman" w:cs="Times New Roman"/>
          <w:szCs w:val="22"/>
        </w:rPr>
        <w:t>合规性</w:t>
      </w:r>
      <w:r>
        <w:rPr>
          <w:rFonts w:hint="default" w:ascii="Times New Roman" w:hAnsi="Times New Roman" w:cs="Times New Roman"/>
          <w:szCs w:val="22"/>
        </w:rPr>
        <w:t>监控和监管部门的监管提供</w:t>
      </w:r>
      <w:r>
        <w:rPr>
          <w:rFonts w:hint="default" w:ascii="Times New Roman" w:hAnsi="Times New Roman" w:cs="Times New Roman"/>
          <w:szCs w:val="22"/>
        </w:rPr>
        <w:t>标准方法</w:t>
      </w:r>
      <w:r>
        <w:rPr>
          <w:rFonts w:hint="default" w:ascii="Times New Roman" w:hAnsi="Times New Roman" w:cs="Times New Roman"/>
          <w:szCs w:val="22"/>
        </w:rPr>
        <w:t>依据，并促进检测实验室的经济效益。</w:t>
      </w:r>
    </w:p>
    <w:p>
      <w:pPr>
        <w:widowControl w:val="0"/>
        <w:adjustRightInd w:val="0"/>
        <w:spacing w:line="360" w:lineRule="auto"/>
        <w:jc w:val="both"/>
        <w:textAlignment w:val="baseline"/>
        <w:rPr>
          <w:rFonts w:hint="default" w:ascii="Times New Roman" w:hAnsi="Times New Roman" w:cs="Times New Roman"/>
          <w:b/>
          <w:bCs/>
          <w:szCs w:val="21"/>
        </w:rPr>
      </w:pPr>
      <w:r>
        <w:rPr>
          <w:rFonts w:hint="default" w:ascii="Times New Roman" w:hAnsi="Times New Roman" w:cs="Times New Roman"/>
          <w:b/>
          <w:bCs/>
          <w:szCs w:val="21"/>
        </w:rPr>
        <w:t>六</w:t>
      </w:r>
      <w:r>
        <w:rPr>
          <w:rFonts w:hint="default" w:ascii="Times New Roman" w:hAnsi="Times New Roman" w:cs="Times New Roman"/>
          <w:b/>
          <w:bCs/>
          <w:szCs w:val="21"/>
        </w:rPr>
        <w:t>、采用国际标准和国外先进标准情况，与国际、国外同类标准的对比情况</w:t>
      </w:r>
    </w:p>
    <w:p>
      <w:pPr>
        <w:widowControl w:val="0"/>
        <w:adjustRightInd w:val="0"/>
        <w:spacing w:line="360" w:lineRule="auto"/>
        <w:ind w:firstLine="424" w:firstLineChars="177"/>
        <w:jc w:val="both"/>
        <w:textAlignment w:val="baseline"/>
        <w:rPr>
          <w:rFonts w:hint="default" w:ascii="Times New Roman" w:hAnsi="Times New Roman" w:cs="Times New Roman"/>
          <w:szCs w:val="22"/>
        </w:rPr>
      </w:pPr>
      <w:r>
        <w:rPr>
          <w:rFonts w:hint="default" w:ascii="Times New Roman" w:hAnsi="Times New Roman" w:cs="Times New Roman"/>
          <w:szCs w:val="22"/>
        </w:rPr>
        <w:t>据查，目前尚无针对化妆品的这22种4-羟基苯甲酸及其酯和盐类防腐剂的</w:t>
      </w:r>
      <w:r>
        <w:rPr>
          <w:rFonts w:hint="default" w:ascii="Times New Roman" w:hAnsi="Times New Roman" w:cs="Times New Roman"/>
          <w:szCs w:val="22"/>
        </w:rPr>
        <w:t>L</w:t>
      </w:r>
      <w:r>
        <w:rPr>
          <w:rFonts w:hint="default" w:ascii="Times New Roman" w:hAnsi="Times New Roman" w:cs="Times New Roman"/>
          <w:szCs w:val="22"/>
        </w:rPr>
        <w:t>C-MS测定标准。</w:t>
      </w:r>
    </w:p>
    <w:p>
      <w:pPr>
        <w:widowControl w:val="0"/>
        <w:adjustRightInd w:val="0"/>
        <w:spacing w:line="360" w:lineRule="auto"/>
        <w:jc w:val="both"/>
        <w:textAlignment w:val="baseline"/>
        <w:rPr>
          <w:rFonts w:hint="default" w:ascii="Times New Roman" w:hAnsi="Times New Roman" w:cs="Times New Roman"/>
          <w:b/>
          <w:bCs/>
          <w:szCs w:val="21"/>
        </w:rPr>
      </w:pPr>
      <w:r>
        <w:rPr>
          <w:rFonts w:hint="default" w:ascii="Times New Roman" w:hAnsi="Times New Roman" w:cs="Times New Roman"/>
          <w:b/>
          <w:bCs/>
          <w:szCs w:val="21"/>
        </w:rPr>
        <w:t>七</w:t>
      </w:r>
      <w:r>
        <w:rPr>
          <w:rFonts w:hint="default" w:ascii="Times New Roman" w:hAnsi="Times New Roman" w:cs="Times New Roman"/>
          <w:b/>
          <w:bCs/>
          <w:szCs w:val="21"/>
        </w:rPr>
        <w:t>、与现行相关法律、法规、规章及相关标准的协调性</w:t>
      </w:r>
    </w:p>
    <w:p>
      <w:pPr>
        <w:widowControl w:val="0"/>
        <w:adjustRightInd w:val="0"/>
        <w:spacing w:line="360" w:lineRule="auto"/>
        <w:ind w:left="566" w:leftChars="236"/>
        <w:jc w:val="both"/>
        <w:textAlignment w:val="baseline"/>
        <w:rPr>
          <w:rFonts w:hint="default" w:ascii="Times New Roman" w:hAnsi="Times New Roman" w:cs="Times New Roman"/>
          <w:szCs w:val="21"/>
        </w:rPr>
      </w:pPr>
      <w:r>
        <w:rPr>
          <w:rFonts w:hint="default" w:ascii="Times New Roman" w:hAnsi="Times New Roman" w:cs="Times New Roman"/>
          <w:szCs w:val="21"/>
        </w:rPr>
        <w:t>本标准技术指标基本符合我国现行相关法规及标准要求。</w:t>
      </w:r>
    </w:p>
    <w:p>
      <w:pPr>
        <w:widowControl w:val="0"/>
        <w:adjustRightInd w:val="0"/>
        <w:spacing w:line="360" w:lineRule="auto"/>
        <w:jc w:val="both"/>
        <w:textAlignment w:val="baseline"/>
        <w:rPr>
          <w:rFonts w:hint="default" w:ascii="Times New Roman" w:hAnsi="Times New Roman" w:cs="Times New Roman"/>
          <w:b/>
          <w:bCs/>
          <w:szCs w:val="21"/>
        </w:rPr>
      </w:pPr>
      <w:r>
        <w:rPr>
          <w:rFonts w:hint="default" w:ascii="Times New Roman" w:hAnsi="Times New Roman" w:cs="Times New Roman"/>
          <w:b/>
          <w:bCs/>
          <w:szCs w:val="21"/>
        </w:rPr>
        <w:t>八</w:t>
      </w:r>
      <w:r>
        <w:rPr>
          <w:rFonts w:hint="default" w:ascii="Times New Roman" w:hAnsi="Times New Roman" w:cs="Times New Roman"/>
          <w:b/>
          <w:bCs/>
          <w:szCs w:val="21"/>
        </w:rPr>
        <w:t>、其他应予以说明的事项</w:t>
      </w:r>
    </w:p>
    <w:p>
      <w:pPr>
        <w:widowControl w:val="0"/>
        <w:adjustRightInd w:val="0"/>
        <w:spacing w:line="360" w:lineRule="auto"/>
        <w:ind w:left="425" w:leftChars="177"/>
        <w:jc w:val="both"/>
        <w:textAlignment w:val="baseline"/>
        <w:rPr>
          <w:rFonts w:hint="default" w:ascii="Times New Roman" w:hAnsi="Times New Roman" w:cs="Times New Roman"/>
          <w:szCs w:val="21"/>
        </w:rPr>
      </w:pPr>
      <w:r>
        <w:rPr>
          <w:rFonts w:hint="default" w:ascii="Times New Roman" w:hAnsi="Times New Roman" w:cs="Times New Roman"/>
          <w:szCs w:val="21"/>
        </w:rPr>
        <w:t>无。</w:t>
      </w:r>
    </w:p>
    <w:sectPr>
      <w:headerReference r:id="rId3" w:type="even"/>
      <w:footerReference r:id="rId4" w:type="even"/>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Book Antiqua">
    <w:panose1 w:val="02040602050305030304"/>
    <w:charset w:val="00"/>
    <w:family w:val="auto"/>
    <w:pitch w:val="default"/>
    <w:sig w:usb0="00000287" w:usb1="00000000" w:usb2="00000000" w:usb3="00000000" w:csb0="2000009F" w:csb1="DFD70000"/>
  </w:font>
  <w:font w:name="Bodoni MT Condensed">
    <w:panose1 w:val="02070606080606020203"/>
    <w:charset w:val="00"/>
    <w:family w:val="auto"/>
    <w:pitch w:val="default"/>
    <w:sig w:usb0="00000003" w:usb1="00000000" w:usb2="00000000" w:usb3="00000000" w:csb0="20000001" w:csb1="00000000"/>
  </w:font>
  <w:font w:name="Ebrima">
    <w:panose1 w:val="02000000000000000000"/>
    <w:charset w:val="00"/>
    <w:family w:val="auto"/>
    <w:pitch w:val="default"/>
    <w:sig w:usb0="A000505F" w:usb1="02000041" w:usb2="00000800" w:usb3="00000404" w:csb0="00000093" w:csb1="00000000"/>
  </w:font>
  <w:font w:name="Ravie">
    <w:panose1 w:val="04040805050809020602"/>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center" w:pos="4677"/>
        <w:tab w:val="right" w:pos="9354"/>
      </w:tabs>
      <w:ind w:right="240"/>
    </w:pPr>
    <w:r>
      <w:t>4</w:t>
    </w:r>
    <w:r>
      <w:tab/>
    </w:r>
    <w: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677"/>
        <w:tab w:val="left" w:pos="6420"/>
        <w:tab w:val="right" w:pos="9354"/>
      </w:tabs>
      <w:spacing w:after="120" w:afterLines="50"/>
    </w:pPr>
    <w:r>
      <w:t>T/CAFFCI XXXX-XXXX</w:t>
    </w:r>
    <w:r>
      <w:tab/>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C12584"/>
    <w:multiLevelType w:val="multilevel"/>
    <w:tmpl w:val="0BC12584"/>
    <w:lvl w:ilvl="0" w:tentative="0">
      <w:start w:val="1"/>
      <w:numFmt w:val="chineseCountingThousand"/>
      <w:suff w:val="space"/>
      <w:lvlText w:val="%1、"/>
      <w:lvlJc w:val="left"/>
      <w:pPr>
        <w:ind w:left="420" w:hanging="420"/>
      </w:pPr>
      <w:rPr>
        <w:rFonts w:hint="default" w:hAnsi="宋体"/>
      </w:rPr>
    </w:lvl>
    <w:lvl w:ilvl="1" w:tentative="0">
      <w:start w:val="1"/>
      <w:numFmt w:val="decimal"/>
      <w:suff w:val="space"/>
      <w:lvlText w:val="%2、"/>
      <w:lvlJc w:val="left"/>
      <w:pPr>
        <w:ind w:left="780" w:hanging="360"/>
      </w:pPr>
      <w:rPr>
        <w:rFonts w:hint="default"/>
      </w:rPr>
    </w:lvl>
    <w:lvl w:ilvl="2" w:tentative="0">
      <w:start w:val="1"/>
      <w:numFmt w:val="decimal"/>
      <w:lvlText w:val="（%3）"/>
      <w:lvlJc w:val="left"/>
      <w:pPr>
        <w:ind w:left="1560" w:hanging="72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1273618"/>
    <w:multiLevelType w:val="multilevel"/>
    <w:tmpl w:val="11273618"/>
    <w:lvl w:ilvl="0" w:tentative="0">
      <w:start w:val="1"/>
      <w:numFmt w:val="lowerLetter"/>
      <w:lvlText w:val="%1)"/>
      <w:lvlJc w:val="left"/>
      <w:pPr>
        <w:ind w:left="927" w:hanging="360"/>
      </w:pPr>
      <w:rPr>
        <w:rFonts w:hint="default"/>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2">
    <w:nsid w:val="1F801969"/>
    <w:multiLevelType w:val="multilevel"/>
    <w:tmpl w:val="1F80196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6811575"/>
    <w:multiLevelType w:val="multilevel"/>
    <w:tmpl w:val="46811575"/>
    <w:lvl w:ilvl="0" w:tentative="0">
      <w:start w:val="5"/>
      <w:numFmt w:val="decimal"/>
      <w:lvlText w:val="%1"/>
      <w:lvlJc w:val="left"/>
      <w:pPr>
        <w:ind w:left="360" w:hanging="360"/>
      </w:pPr>
      <w:rPr>
        <w:rFonts w:hint="default"/>
      </w:rPr>
    </w:lvl>
    <w:lvl w:ilvl="1" w:tentative="0">
      <w:start w:val="1"/>
      <w:numFmt w:val="decimal"/>
      <w:lvlText w:val="%1.%2"/>
      <w:lvlJc w:val="left"/>
      <w:pPr>
        <w:ind w:left="359" w:hanging="360"/>
      </w:pPr>
      <w:rPr>
        <w:rFonts w:hint="default"/>
      </w:rPr>
    </w:lvl>
    <w:lvl w:ilvl="2" w:tentative="0">
      <w:start w:val="1"/>
      <w:numFmt w:val="decimal"/>
      <w:lvlText w:val="%1.%2.%3"/>
      <w:lvlJc w:val="left"/>
      <w:pPr>
        <w:ind w:left="718" w:hanging="720"/>
      </w:pPr>
      <w:rPr>
        <w:rFonts w:hint="default"/>
      </w:rPr>
    </w:lvl>
    <w:lvl w:ilvl="3" w:tentative="0">
      <w:start w:val="1"/>
      <w:numFmt w:val="decimal"/>
      <w:lvlText w:val="%1.%2.%3.%4"/>
      <w:lvlJc w:val="left"/>
      <w:pPr>
        <w:ind w:left="717" w:hanging="720"/>
      </w:pPr>
      <w:rPr>
        <w:rFonts w:hint="default"/>
      </w:rPr>
    </w:lvl>
    <w:lvl w:ilvl="4" w:tentative="0">
      <w:start w:val="1"/>
      <w:numFmt w:val="decimal"/>
      <w:lvlText w:val="%1.%2.%3.%4.%5"/>
      <w:lvlJc w:val="left"/>
      <w:pPr>
        <w:ind w:left="1076" w:hanging="1080"/>
      </w:pPr>
      <w:rPr>
        <w:rFonts w:hint="default"/>
      </w:rPr>
    </w:lvl>
    <w:lvl w:ilvl="5" w:tentative="0">
      <w:start w:val="1"/>
      <w:numFmt w:val="decimal"/>
      <w:lvlText w:val="%1.%2.%3.%4.%5.%6"/>
      <w:lvlJc w:val="left"/>
      <w:pPr>
        <w:ind w:left="1075" w:hanging="1080"/>
      </w:pPr>
      <w:rPr>
        <w:rFonts w:hint="default"/>
      </w:rPr>
    </w:lvl>
    <w:lvl w:ilvl="6" w:tentative="0">
      <w:start w:val="1"/>
      <w:numFmt w:val="decimal"/>
      <w:lvlText w:val="%1.%2.%3.%4.%5.%6.%7"/>
      <w:lvlJc w:val="left"/>
      <w:pPr>
        <w:ind w:left="1434" w:hanging="1440"/>
      </w:pPr>
      <w:rPr>
        <w:rFonts w:hint="default"/>
      </w:rPr>
    </w:lvl>
    <w:lvl w:ilvl="7" w:tentative="0">
      <w:start w:val="1"/>
      <w:numFmt w:val="decimal"/>
      <w:lvlText w:val="%1.%2.%3.%4.%5.%6.%7.%8"/>
      <w:lvlJc w:val="left"/>
      <w:pPr>
        <w:ind w:left="1433" w:hanging="1440"/>
      </w:pPr>
      <w:rPr>
        <w:rFonts w:hint="default"/>
      </w:rPr>
    </w:lvl>
    <w:lvl w:ilvl="8" w:tentative="0">
      <w:start w:val="1"/>
      <w:numFmt w:val="decimal"/>
      <w:lvlText w:val="%1.%2.%3.%4.%5.%6.%7.%8.%9"/>
      <w:lvlJc w:val="left"/>
      <w:pPr>
        <w:ind w:left="1792" w:hanging="1800"/>
      </w:pPr>
      <w:rPr>
        <w:rFonts w:hint="default"/>
      </w:rPr>
    </w:lvl>
  </w:abstractNum>
  <w:abstractNum w:abstractNumId="4">
    <w:nsid w:val="58F90DC9"/>
    <w:multiLevelType w:val="multilevel"/>
    <w:tmpl w:val="58F90DC9"/>
    <w:lvl w:ilvl="0" w:tentative="0">
      <w:start w:val="2"/>
      <w:numFmt w:val="decimal"/>
      <w:lvlText w:val="%1、"/>
      <w:lvlJc w:val="left"/>
      <w:pPr>
        <w:ind w:left="375" w:hanging="37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5513135"/>
    <w:multiLevelType w:val="multilevel"/>
    <w:tmpl w:val="65513135"/>
    <w:lvl w:ilvl="0" w:tentative="0">
      <w:start w:val="2"/>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5"/>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E3B"/>
    <w:rsid w:val="0000466E"/>
    <w:rsid w:val="00005CE1"/>
    <w:rsid w:val="000072BB"/>
    <w:rsid w:val="00012E3D"/>
    <w:rsid w:val="00020450"/>
    <w:rsid w:val="00021862"/>
    <w:rsid w:val="0002598C"/>
    <w:rsid w:val="000275FC"/>
    <w:rsid w:val="0003190D"/>
    <w:rsid w:val="00051F4A"/>
    <w:rsid w:val="00052EFA"/>
    <w:rsid w:val="000566A8"/>
    <w:rsid w:val="00056849"/>
    <w:rsid w:val="000623A9"/>
    <w:rsid w:val="0007042C"/>
    <w:rsid w:val="0007359D"/>
    <w:rsid w:val="000770D1"/>
    <w:rsid w:val="00077173"/>
    <w:rsid w:val="000818B0"/>
    <w:rsid w:val="000929B4"/>
    <w:rsid w:val="00094681"/>
    <w:rsid w:val="000952AF"/>
    <w:rsid w:val="000A26E3"/>
    <w:rsid w:val="000A414C"/>
    <w:rsid w:val="000A641E"/>
    <w:rsid w:val="000B1F73"/>
    <w:rsid w:val="000C5F3D"/>
    <w:rsid w:val="000C6A49"/>
    <w:rsid w:val="000C7574"/>
    <w:rsid w:val="000D0AD3"/>
    <w:rsid w:val="000D396F"/>
    <w:rsid w:val="000D51DD"/>
    <w:rsid w:val="000E30BE"/>
    <w:rsid w:val="000E4930"/>
    <w:rsid w:val="000E6411"/>
    <w:rsid w:val="000F2C49"/>
    <w:rsid w:val="000F391E"/>
    <w:rsid w:val="000F74B2"/>
    <w:rsid w:val="000F7952"/>
    <w:rsid w:val="00103315"/>
    <w:rsid w:val="0011189A"/>
    <w:rsid w:val="001205D0"/>
    <w:rsid w:val="0012088F"/>
    <w:rsid w:val="00124DD5"/>
    <w:rsid w:val="00145C81"/>
    <w:rsid w:val="001463A7"/>
    <w:rsid w:val="00163F2B"/>
    <w:rsid w:val="00165250"/>
    <w:rsid w:val="00167FAF"/>
    <w:rsid w:val="0018194D"/>
    <w:rsid w:val="001832FA"/>
    <w:rsid w:val="00190445"/>
    <w:rsid w:val="001A289C"/>
    <w:rsid w:val="001A3920"/>
    <w:rsid w:val="001B0111"/>
    <w:rsid w:val="001B3AF1"/>
    <w:rsid w:val="001C1286"/>
    <w:rsid w:val="001C5361"/>
    <w:rsid w:val="001C544D"/>
    <w:rsid w:val="001C686C"/>
    <w:rsid w:val="001D21F0"/>
    <w:rsid w:val="001E1EF9"/>
    <w:rsid w:val="001E2F5A"/>
    <w:rsid w:val="001E6CB8"/>
    <w:rsid w:val="001F0325"/>
    <w:rsid w:val="001F201C"/>
    <w:rsid w:val="001F267C"/>
    <w:rsid w:val="00205D15"/>
    <w:rsid w:val="00223DCF"/>
    <w:rsid w:val="00234715"/>
    <w:rsid w:val="002352C9"/>
    <w:rsid w:val="002474BF"/>
    <w:rsid w:val="00255D62"/>
    <w:rsid w:val="002608C6"/>
    <w:rsid w:val="00261D47"/>
    <w:rsid w:val="0026393E"/>
    <w:rsid w:val="002663DE"/>
    <w:rsid w:val="00266D5C"/>
    <w:rsid w:val="00267B4C"/>
    <w:rsid w:val="0027457C"/>
    <w:rsid w:val="00287171"/>
    <w:rsid w:val="002958D5"/>
    <w:rsid w:val="002A1A03"/>
    <w:rsid w:val="002A47AE"/>
    <w:rsid w:val="002A6F27"/>
    <w:rsid w:val="002B4888"/>
    <w:rsid w:val="002C0AA5"/>
    <w:rsid w:val="002C25AF"/>
    <w:rsid w:val="002C2B95"/>
    <w:rsid w:val="002C476A"/>
    <w:rsid w:val="002E01F6"/>
    <w:rsid w:val="002E20DE"/>
    <w:rsid w:val="002E4A13"/>
    <w:rsid w:val="002E5EC0"/>
    <w:rsid w:val="003008F9"/>
    <w:rsid w:val="0030176F"/>
    <w:rsid w:val="00311CFF"/>
    <w:rsid w:val="003237D2"/>
    <w:rsid w:val="00326754"/>
    <w:rsid w:val="0033013E"/>
    <w:rsid w:val="00351A7B"/>
    <w:rsid w:val="00364189"/>
    <w:rsid w:val="00367B8A"/>
    <w:rsid w:val="0037682A"/>
    <w:rsid w:val="00377492"/>
    <w:rsid w:val="00380D28"/>
    <w:rsid w:val="00394ACF"/>
    <w:rsid w:val="003A3034"/>
    <w:rsid w:val="003B25E8"/>
    <w:rsid w:val="003B3D9E"/>
    <w:rsid w:val="003D5EA3"/>
    <w:rsid w:val="003E6320"/>
    <w:rsid w:val="003F1029"/>
    <w:rsid w:val="003F538D"/>
    <w:rsid w:val="0040342D"/>
    <w:rsid w:val="00413CEE"/>
    <w:rsid w:val="00416109"/>
    <w:rsid w:val="0042256E"/>
    <w:rsid w:val="00425C84"/>
    <w:rsid w:val="00432412"/>
    <w:rsid w:val="00436BA0"/>
    <w:rsid w:val="00437AB0"/>
    <w:rsid w:val="00440607"/>
    <w:rsid w:val="0044296A"/>
    <w:rsid w:val="004439B8"/>
    <w:rsid w:val="00443DC2"/>
    <w:rsid w:val="004520B5"/>
    <w:rsid w:val="00453D8D"/>
    <w:rsid w:val="00462A48"/>
    <w:rsid w:val="00467A0D"/>
    <w:rsid w:val="0048184C"/>
    <w:rsid w:val="00482DA0"/>
    <w:rsid w:val="00486E80"/>
    <w:rsid w:val="00496199"/>
    <w:rsid w:val="00497CC7"/>
    <w:rsid w:val="004B0343"/>
    <w:rsid w:val="004B0AE9"/>
    <w:rsid w:val="004B7594"/>
    <w:rsid w:val="004E10E3"/>
    <w:rsid w:val="004E6E80"/>
    <w:rsid w:val="004F1E00"/>
    <w:rsid w:val="004F37B6"/>
    <w:rsid w:val="005051DE"/>
    <w:rsid w:val="0051730E"/>
    <w:rsid w:val="00523783"/>
    <w:rsid w:val="00523D0B"/>
    <w:rsid w:val="00536E09"/>
    <w:rsid w:val="00541043"/>
    <w:rsid w:val="00554BA2"/>
    <w:rsid w:val="00561E2E"/>
    <w:rsid w:val="005677E1"/>
    <w:rsid w:val="00576183"/>
    <w:rsid w:val="005828EE"/>
    <w:rsid w:val="00584DCB"/>
    <w:rsid w:val="00586CA1"/>
    <w:rsid w:val="00593A18"/>
    <w:rsid w:val="00593B6F"/>
    <w:rsid w:val="005B0BB7"/>
    <w:rsid w:val="005B2E7A"/>
    <w:rsid w:val="005B4FEA"/>
    <w:rsid w:val="005B5379"/>
    <w:rsid w:val="005C0D19"/>
    <w:rsid w:val="005D3453"/>
    <w:rsid w:val="005D5F7E"/>
    <w:rsid w:val="005E667B"/>
    <w:rsid w:val="005E6FB3"/>
    <w:rsid w:val="006039FF"/>
    <w:rsid w:val="00613612"/>
    <w:rsid w:val="0061590B"/>
    <w:rsid w:val="0062008C"/>
    <w:rsid w:val="006257BD"/>
    <w:rsid w:val="00626077"/>
    <w:rsid w:val="00630828"/>
    <w:rsid w:val="006512B5"/>
    <w:rsid w:val="00651CF9"/>
    <w:rsid w:val="00664233"/>
    <w:rsid w:val="00674B8E"/>
    <w:rsid w:val="006762B6"/>
    <w:rsid w:val="00680BC2"/>
    <w:rsid w:val="00682FD4"/>
    <w:rsid w:val="00686F3A"/>
    <w:rsid w:val="00692460"/>
    <w:rsid w:val="00695895"/>
    <w:rsid w:val="006A06E7"/>
    <w:rsid w:val="006A168D"/>
    <w:rsid w:val="006B02E0"/>
    <w:rsid w:val="006B736B"/>
    <w:rsid w:val="006B7AE3"/>
    <w:rsid w:val="006D0408"/>
    <w:rsid w:val="006D50AE"/>
    <w:rsid w:val="006E5F07"/>
    <w:rsid w:val="006E7F63"/>
    <w:rsid w:val="006F42F7"/>
    <w:rsid w:val="007010B4"/>
    <w:rsid w:val="00701255"/>
    <w:rsid w:val="0070710C"/>
    <w:rsid w:val="00712E1C"/>
    <w:rsid w:val="007260A1"/>
    <w:rsid w:val="0074100F"/>
    <w:rsid w:val="00753265"/>
    <w:rsid w:val="00754EEB"/>
    <w:rsid w:val="00767FE4"/>
    <w:rsid w:val="00777051"/>
    <w:rsid w:val="0078581C"/>
    <w:rsid w:val="00790CF7"/>
    <w:rsid w:val="00794E9F"/>
    <w:rsid w:val="007A2EEC"/>
    <w:rsid w:val="007A78EA"/>
    <w:rsid w:val="007B4364"/>
    <w:rsid w:val="007C1B84"/>
    <w:rsid w:val="007C468D"/>
    <w:rsid w:val="007C5928"/>
    <w:rsid w:val="007D4EC6"/>
    <w:rsid w:val="007E2195"/>
    <w:rsid w:val="007E26AA"/>
    <w:rsid w:val="007E57B7"/>
    <w:rsid w:val="007F08C8"/>
    <w:rsid w:val="007F39F2"/>
    <w:rsid w:val="00800A03"/>
    <w:rsid w:val="0080737D"/>
    <w:rsid w:val="00810E57"/>
    <w:rsid w:val="00815530"/>
    <w:rsid w:val="00816920"/>
    <w:rsid w:val="00833B15"/>
    <w:rsid w:val="008453E5"/>
    <w:rsid w:val="00854593"/>
    <w:rsid w:val="008673B1"/>
    <w:rsid w:val="00871D40"/>
    <w:rsid w:val="00873A7A"/>
    <w:rsid w:val="00882E92"/>
    <w:rsid w:val="008A2423"/>
    <w:rsid w:val="008B031E"/>
    <w:rsid w:val="008B53B6"/>
    <w:rsid w:val="008B7D8A"/>
    <w:rsid w:val="008C148E"/>
    <w:rsid w:val="008C333C"/>
    <w:rsid w:val="008D0559"/>
    <w:rsid w:val="008D19D8"/>
    <w:rsid w:val="008D26BC"/>
    <w:rsid w:val="008D37D6"/>
    <w:rsid w:val="008E2406"/>
    <w:rsid w:val="008E44B6"/>
    <w:rsid w:val="008E5C19"/>
    <w:rsid w:val="00900E92"/>
    <w:rsid w:val="00910157"/>
    <w:rsid w:val="00911A31"/>
    <w:rsid w:val="0092111E"/>
    <w:rsid w:val="0093112B"/>
    <w:rsid w:val="00934A16"/>
    <w:rsid w:val="00940379"/>
    <w:rsid w:val="00950CC7"/>
    <w:rsid w:val="009546D2"/>
    <w:rsid w:val="009563B7"/>
    <w:rsid w:val="00961F30"/>
    <w:rsid w:val="00972EC4"/>
    <w:rsid w:val="0097305B"/>
    <w:rsid w:val="00976977"/>
    <w:rsid w:val="0098376A"/>
    <w:rsid w:val="00984DCE"/>
    <w:rsid w:val="00990B60"/>
    <w:rsid w:val="009A56DC"/>
    <w:rsid w:val="009B5190"/>
    <w:rsid w:val="009C4C06"/>
    <w:rsid w:val="009D0C40"/>
    <w:rsid w:val="009D2393"/>
    <w:rsid w:val="009D34B4"/>
    <w:rsid w:val="009D3E9D"/>
    <w:rsid w:val="009D5FAF"/>
    <w:rsid w:val="009D7FAE"/>
    <w:rsid w:val="009E2D3D"/>
    <w:rsid w:val="009F2BDF"/>
    <w:rsid w:val="009F491E"/>
    <w:rsid w:val="009F6E94"/>
    <w:rsid w:val="00A00DE4"/>
    <w:rsid w:val="00A10E5E"/>
    <w:rsid w:val="00A235EA"/>
    <w:rsid w:val="00A27424"/>
    <w:rsid w:val="00A35D6C"/>
    <w:rsid w:val="00A37C68"/>
    <w:rsid w:val="00A37C90"/>
    <w:rsid w:val="00A409C8"/>
    <w:rsid w:val="00A40DA6"/>
    <w:rsid w:val="00A512B7"/>
    <w:rsid w:val="00A5302F"/>
    <w:rsid w:val="00A96208"/>
    <w:rsid w:val="00A97AC7"/>
    <w:rsid w:val="00AA15A1"/>
    <w:rsid w:val="00AA5C0E"/>
    <w:rsid w:val="00AA76E9"/>
    <w:rsid w:val="00AA7F6F"/>
    <w:rsid w:val="00AC4CB3"/>
    <w:rsid w:val="00AC54A9"/>
    <w:rsid w:val="00AC57E0"/>
    <w:rsid w:val="00AC6E89"/>
    <w:rsid w:val="00AD55E0"/>
    <w:rsid w:val="00AD714E"/>
    <w:rsid w:val="00AE0793"/>
    <w:rsid w:val="00AE6698"/>
    <w:rsid w:val="00AE682F"/>
    <w:rsid w:val="00AF1A1C"/>
    <w:rsid w:val="00AF3862"/>
    <w:rsid w:val="00AF60F7"/>
    <w:rsid w:val="00B073F4"/>
    <w:rsid w:val="00B11F5D"/>
    <w:rsid w:val="00B16DA1"/>
    <w:rsid w:val="00B26913"/>
    <w:rsid w:val="00B50A36"/>
    <w:rsid w:val="00B51503"/>
    <w:rsid w:val="00B5174A"/>
    <w:rsid w:val="00B66699"/>
    <w:rsid w:val="00B77916"/>
    <w:rsid w:val="00B920E0"/>
    <w:rsid w:val="00B95D8D"/>
    <w:rsid w:val="00BA3A46"/>
    <w:rsid w:val="00BA6748"/>
    <w:rsid w:val="00BA7B63"/>
    <w:rsid w:val="00BB1F99"/>
    <w:rsid w:val="00BB3A17"/>
    <w:rsid w:val="00BB5EE0"/>
    <w:rsid w:val="00BC0ACA"/>
    <w:rsid w:val="00BC2B84"/>
    <w:rsid w:val="00BC4D18"/>
    <w:rsid w:val="00BD5028"/>
    <w:rsid w:val="00BF7952"/>
    <w:rsid w:val="00BF7B98"/>
    <w:rsid w:val="00C1622B"/>
    <w:rsid w:val="00C27698"/>
    <w:rsid w:val="00C31E66"/>
    <w:rsid w:val="00C336A0"/>
    <w:rsid w:val="00C37693"/>
    <w:rsid w:val="00C70C38"/>
    <w:rsid w:val="00C72415"/>
    <w:rsid w:val="00C7516D"/>
    <w:rsid w:val="00C75F54"/>
    <w:rsid w:val="00C76229"/>
    <w:rsid w:val="00C90B35"/>
    <w:rsid w:val="00C93E72"/>
    <w:rsid w:val="00CA21BE"/>
    <w:rsid w:val="00CA44DB"/>
    <w:rsid w:val="00CB5880"/>
    <w:rsid w:val="00CB7C33"/>
    <w:rsid w:val="00CC4484"/>
    <w:rsid w:val="00CC6AB3"/>
    <w:rsid w:val="00CF25F0"/>
    <w:rsid w:val="00CF3B55"/>
    <w:rsid w:val="00CF6D9A"/>
    <w:rsid w:val="00D00787"/>
    <w:rsid w:val="00D04F38"/>
    <w:rsid w:val="00D10305"/>
    <w:rsid w:val="00D167D5"/>
    <w:rsid w:val="00D2020C"/>
    <w:rsid w:val="00D2163A"/>
    <w:rsid w:val="00D22C1B"/>
    <w:rsid w:val="00D312F4"/>
    <w:rsid w:val="00D33933"/>
    <w:rsid w:val="00D33B02"/>
    <w:rsid w:val="00D4039A"/>
    <w:rsid w:val="00D40A4C"/>
    <w:rsid w:val="00D42404"/>
    <w:rsid w:val="00D4469C"/>
    <w:rsid w:val="00D51ED0"/>
    <w:rsid w:val="00D7631E"/>
    <w:rsid w:val="00D77317"/>
    <w:rsid w:val="00D81624"/>
    <w:rsid w:val="00D82DD4"/>
    <w:rsid w:val="00D9317B"/>
    <w:rsid w:val="00D93B95"/>
    <w:rsid w:val="00D951B8"/>
    <w:rsid w:val="00D9528D"/>
    <w:rsid w:val="00D965CD"/>
    <w:rsid w:val="00D9716E"/>
    <w:rsid w:val="00DA20DD"/>
    <w:rsid w:val="00DA3D90"/>
    <w:rsid w:val="00DA6BEF"/>
    <w:rsid w:val="00DB2DD4"/>
    <w:rsid w:val="00DB5B4E"/>
    <w:rsid w:val="00DC2086"/>
    <w:rsid w:val="00DD0C77"/>
    <w:rsid w:val="00DD3F07"/>
    <w:rsid w:val="00DD4719"/>
    <w:rsid w:val="00E01187"/>
    <w:rsid w:val="00E01F34"/>
    <w:rsid w:val="00E02B95"/>
    <w:rsid w:val="00E106E1"/>
    <w:rsid w:val="00E14F94"/>
    <w:rsid w:val="00E16DD9"/>
    <w:rsid w:val="00E426AB"/>
    <w:rsid w:val="00E465F4"/>
    <w:rsid w:val="00E5012C"/>
    <w:rsid w:val="00E50331"/>
    <w:rsid w:val="00E57B7A"/>
    <w:rsid w:val="00E601AA"/>
    <w:rsid w:val="00E62040"/>
    <w:rsid w:val="00E73A06"/>
    <w:rsid w:val="00E827B0"/>
    <w:rsid w:val="00E8297E"/>
    <w:rsid w:val="00E860AD"/>
    <w:rsid w:val="00E86C52"/>
    <w:rsid w:val="00E90712"/>
    <w:rsid w:val="00E90E3B"/>
    <w:rsid w:val="00E97B56"/>
    <w:rsid w:val="00E97BF4"/>
    <w:rsid w:val="00EA1601"/>
    <w:rsid w:val="00EB273F"/>
    <w:rsid w:val="00EB2E5A"/>
    <w:rsid w:val="00EB7BBA"/>
    <w:rsid w:val="00EC0BA8"/>
    <w:rsid w:val="00ED0730"/>
    <w:rsid w:val="00ED0D70"/>
    <w:rsid w:val="00ED3A5C"/>
    <w:rsid w:val="00ED416B"/>
    <w:rsid w:val="00EE32C5"/>
    <w:rsid w:val="00EE34D3"/>
    <w:rsid w:val="00EF5817"/>
    <w:rsid w:val="00F02D03"/>
    <w:rsid w:val="00F03BAF"/>
    <w:rsid w:val="00F12314"/>
    <w:rsid w:val="00F12419"/>
    <w:rsid w:val="00F13909"/>
    <w:rsid w:val="00F26B55"/>
    <w:rsid w:val="00F4422C"/>
    <w:rsid w:val="00F4594B"/>
    <w:rsid w:val="00F46CA1"/>
    <w:rsid w:val="00F71835"/>
    <w:rsid w:val="00F72AA5"/>
    <w:rsid w:val="00F75F68"/>
    <w:rsid w:val="00F86E8C"/>
    <w:rsid w:val="00F908A0"/>
    <w:rsid w:val="00F915F7"/>
    <w:rsid w:val="00F916EF"/>
    <w:rsid w:val="00FA2B81"/>
    <w:rsid w:val="00FA696C"/>
    <w:rsid w:val="00FB6127"/>
    <w:rsid w:val="00FB64C0"/>
    <w:rsid w:val="00FB7944"/>
    <w:rsid w:val="00FC04C8"/>
    <w:rsid w:val="00FC5D32"/>
    <w:rsid w:val="00FD6906"/>
    <w:rsid w:val="00FD75FF"/>
    <w:rsid w:val="00FD7A18"/>
    <w:rsid w:val="00FE661C"/>
    <w:rsid w:val="00FF45D2"/>
    <w:rsid w:val="1B0032F3"/>
    <w:rsid w:val="3EF56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7"/>
    <w:semiHidden/>
    <w:unhideWhenUsed/>
    <w:qFormat/>
    <w:uiPriority w:val="0"/>
    <w:rPr>
      <w:sz w:val="18"/>
      <w:szCs w:val="18"/>
    </w:rPr>
  </w:style>
  <w:style w:type="paragraph" w:styleId="3">
    <w:name w:val="footer"/>
    <w:basedOn w:val="1"/>
    <w:link w:val="14"/>
    <w:uiPriority w:val="99"/>
    <w:pPr>
      <w:widowControl w:val="0"/>
      <w:snapToGrid w:val="0"/>
      <w:ind w:right="210" w:rightChars="100"/>
      <w:jc w:val="right"/>
    </w:pPr>
    <w:rPr>
      <w:rFonts w:ascii="Times New Roman" w:hAnsi="Times New Roman" w:cs="Times New Roman" w:eastAsiaTheme="minorEastAsia"/>
      <w:kern w:val="2"/>
      <w:sz w:val="18"/>
      <w:szCs w:val="18"/>
    </w:rPr>
  </w:style>
  <w:style w:type="paragraph" w:styleId="4">
    <w:name w:val="header"/>
    <w:basedOn w:val="1"/>
    <w:link w:val="13"/>
    <w:uiPriority w:val="99"/>
    <w:pPr>
      <w:widowControl w:val="0"/>
      <w:snapToGrid w:val="0"/>
    </w:pPr>
    <w:rPr>
      <w:rFonts w:ascii="Times New Roman" w:hAnsi="Times New Roman" w:cs="Times New Roman" w:eastAsiaTheme="minorEastAsia"/>
      <w:kern w:val="2"/>
      <w:sz w:val="18"/>
      <w:szCs w:val="18"/>
    </w:rPr>
  </w:style>
  <w:style w:type="paragraph" w:styleId="5">
    <w:name w:val="Normal (Web)"/>
    <w:basedOn w:val="1"/>
    <w:unhideWhenUsed/>
    <w:qFormat/>
    <w:uiPriority w:val="99"/>
    <w:pPr>
      <w:spacing w:before="100" w:beforeAutospacing="1" w:after="100" w:afterAutospacing="1"/>
    </w:p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llowedHyperlink"/>
    <w:uiPriority w:val="0"/>
    <w:rPr>
      <w:color w:val="800080"/>
      <w:u w:val="single"/>
    </w:rPr>
  </w:style>
  <w:style w:type="paragraph" w:customStyle="1" w:styleId="10">
    <w:name w:val="16"/>
    <w:basedOn w:val="1"/>
    <w:uiPriority w:val="0"/>
    <w:pPr>
      <w:spacing w:before="100" w:beforeAutospacing="1" w:after="100" w:afterAutospacing="1"/>
    </w:pPr>
  </w:style>
  <w:style w:type="paragraph" w:styleId="11">
    <w:name w:val="List Paragraph"/>
    <w:basedOn w:val="1"/>
    <w:qFormat/>
    <w:uiPriority w:val="34"/>
    <w:pPr>
      <w:ind w:firstLine="420" w:firstLineChars="200"/>
    </w:pPr>
  </w:style>
  <w:style w:type="paragraph" w:customStyle="1" w:styleId="1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3">
    <w:name w:val="Header Char"/>
    <w:link w:val="4"/>
    <w:qFormat/>
    <w:uiPriority w:val="99"/>
    <w:rPr>
      <w:kern w:val="2"/>
      <w:sz w:val="18"/>
      <w:szCs w:val="18"/>
    </w:rPr>
  </w:style>
  <w:style w:type="character" w:customStyle="1" w:styleId="14">
    <w:name w:val="Footer Char"/>
    <w:link w:val="3"/>
    <w:qFormat/>
    <w:uiPriority w:val="99"/>
    <w:rPr>
      <w:kern w:val="2"/>
      <w:sz w:val="18"/>
      <w:szCs w:val="18"/>
    </w:rPr>
  </w:style>
  <w:style w:type="character" w:customStyle="1" w:styleId="15">
    <w:name w:val="Footer Char1"/>
    <w:basedOn w:val="8"/>
    <w:qFormat/>
    <w:uiPriority w:val="0"/>
    <w:rPr>
      <w:rFonts w:ascii="宋体" w:hAnsi="宋体" w:eastAsia="宋体" w:cs="宋体"/>
      <w:sz w:val="18"/>
      <w:szCs w:val="18"/>
    </w:rPr>
  </w:style>
  <w:style w:type="character" w:customStyle="1" w:styleId="16">
    <w:name w:val="Header Char1"/>
    <w:basedOn w:val="8"/>
    <w:qFormat/>
    <w:uiPriority w:val="0"/>
    <w:rPr>
      <w:rFonts w:ascii="宋体" w:hAnsi="宋体" w:eastAsia="宋体" w:cs="宋体"/>
      <w:sz w:val="18"/>
      <w:szCs w:val="18"/>
    </w:rPr>
  </w:style>
  <w:style w:type="character" w:customStyle="1" w:styleId="17">
    <w:name w:val="Balloon Text Char"/>
    <w:basedOn w:val="8"/>
    <w:link w:val="2"/>
    <w:semiHidden/>
    <w:uiPriority w:val="0"/>
    <w:rPr>
      <w:rFonts w:ascii="宋体" w:hAnsi="宋体" w:eastAsia="宋体" w:cs="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1414</Words>
  <Characters>8061</Characters>
  <Lines>67</Lines>
  <Paragraphs>18</Paragraphs>
  <TotalTime>29</TotalTime>
  <ScaleCrop>false</ScaleCrop>
  <LinksUpToDate>false</LinksUpToDate>
  <CharactersWithSpaces>9457</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2018-10-23T06:05:00Z</dcterms:created>
  <dc:creator>Wang, Lexi (Shanghai)</dc:creator>
  <cp:lastModifiedBy>张鹏</cp:lastModifiedBy>
  <dcterms:modified xsi:type="dcterms:W3CDTF">2021-03-31T08:59:05Z</dcterms:modified>
  <cp:revision>422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C94D725006024D4CB0E28BFDB6168DB7</vt:lpwstr>
  </property>
</Properties>
</file>